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theme/themeOverride4.xml" ContentType="application/vnd.openxmlformats-officedocument.themeOverride+xml"/>
  <Override PartName="/word/theme/themeOverride5.xml" ContentType="application/vnd.openxmlformats-officedocument.themeOverride+xml"/>
  <Override PartName="/customXml/itemProps1.xml" ContentType="application/vnd.openxmlformats-officedocument.customXmlProperties+xml"/>
  <Override PartName="/word/theme/themeOverride2.xml" ContentType="application/vnd.openxmlformats-officedocument.themeOverride+xml"/>
  <Override PartName="/word/theme/themeOverride3.xml" ContentType="application/vnd.openxmlformats-officedocument.themeOverride+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theme/themeOverride6.xml" ContentType="application/vnd.openxmlformats-officedocument.themeOverride+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21EB" w:rsidRDefault="00CF21EB" w:rsidP="00CF21EB">
      <w:pPr>
        <w:jc w:val="center"/>
        <w:rPr>
          <w:rFonts w:ascii="仿宋" w:eastAsia="仿宋" w:hAnsi="仿宋"/>
          <w:b/>
          <w:noProof/>
          <w:color w:val="000000"/>
          <w:sz w:val="44"/>
          <w:szCs w:val="44"/>
          <w:shd w:val="clear" w:color="auto" w:fill="FFFFFF"/>
        </w:rPr>
      </w:pPr>
      <w:r>
        <w:rPr>
          <w:rFonts w:ascii="仿宋" w:eastAsia="仿宋" w:hAnsi="仿宋"/>
          <w:b/>
          <w:noProof/>
          <w:color w:val="000000"/>
          <w:sz w:val="44"/>
          <w:szCs w:val="44"/>
          <w:shd w:val="clear" w:color="auto" w:fill="FFFFFF"/>
        </w:rPr>
        <w:drawing>
          <wp:inline distT="0" distB="0" distL="0" distR="0">
            <wp:extent cx="2428875" cy="2619375"/>
            <wp:effectExtent l="0" t="0" r="0" b="0"/>
            <wp:docPr id="1" name="图片 0" descr="法徽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0" descr="法徽1.png"/>
                    <pic:cNvPicPr>
                      <a:picLocks noChangeAspect="1" noChangeArrowheads="1"/>
                    </pic:cNvPicPr>
                  </pic:nvPicPr>
                  <pic:blipFill>
                    <a:blip r:embed="rId8" cstate="print"/>
                    <a:srcRect/>
                    <a:stretch>
                      <a:fillRect/>
                    </a:stretch>
                  </pic:blipFill>
                  <pic:spPr bwMode="auto">
                    <a:xfrm>
                      <a:off x="0" y="0"/>
                      <a:ext cx="2428875" cy="2619375"/>
                    </a:xfrm>
                    <a:prstGeom prst="rect">
                      <a:avLst/>
                    </a:prstGeom>
                    <a:noFill/>
                    <a:ln w="9525">
                      <a:noFill/>
                      <a:miter lim="800000"/>
                      <a:headEnd/>
                      <a:tailEnd/>
                    </a:ln>
                  </pic:spPr>
                </pic:pic>
              </a:graphicData>
            </a:graphic>
          </wp:inline>
        </w:drawing>
      </w:r>
    </w:p>
    <w:p w:rsidR="00CF21EB" w:rsidRPr="00CF21EB" w:rsidRDefault="00CF21EB" w:rsidP="00CF21EB">
      <w:pPr>
        <w:jc w:val="center"/>
        <w:rPr>
          <w:rFonts w:ascii="方正小标宋简体" w:eastAsia="方正小标宋简体" w:hAnsi="宋体"/>
          <w:sz w:val="72"/>
          <w:szCs w:val="72"/>
        </w:rPr>
      </w:pPr>
      <w:r w:rsidRPr="00CF21EB">
        <w:rPr>
          <w:rFonts w:ascii="方正小标宋简体" w:eastAsia="方正小标宋简体" w:hAnsi="宋体" w:hint="eastAsia"/>
          <w:sz w:val="72"/>
          <w:szCs w:val="72"/>
        </w:rPr>
        <w:t>执行异议与执行异议之诉</w:t>
      </w:r>
    </w:p>
    <w:p w:rsidR="00CF21EB" w:rsidRPr="00CF21EB" w:rsidRDefault="00CF21EB" w:rsidP="00CF21EB">
      <w:pPr>
        <w:jc w:val="center"/>
        <w:rPr>
          <w:rFonts w:ascii="方正小标宋简体" w:eastAsia="方正小标宋简体" w:hAnsi="宋体"/>
          <w:sz w:val="72"/>
          <w:szCs w:val="72"/>
        </w:rPr>
      </w:pPr>
      <w:r w:rsidRPr="00CF21EB">
        <w:rPr>
          <w:rFonts w:ascii="方正小标宋简体" w:eastAsia="方正小标宋简体" w:hAnsi="宋体" w:hint="eastAsia"/>
          <w:sz w:val="72"/>
          <w:szCs w:val="72"/>
        </w:rPr>
        <w:t>第三人撤销之诉</w:t>
      </w:r>
    </w:p>
    <w:p w:rsidR="00CF21EB" w:rsidRPr="00CF21EB" w:rsidRDefault="00CF21EB" w:rsidP="00CF21EB">
      <w:pPr>
        <w:jc w:val="center"/>
        <w:rPr>
          <w:rFonts w:ascii="方正小标宋简体" w:eastAsia="方正小标宋简体" w:hAnsi="宋体"/>
          <w:sz w:val="72"/>
          <w:szCs w:val="72"/>
        </w:rPr>
      </w:pPr>
      <w:r w:rsidRPr="00CF21EB">
        <w:rPr>
          <w:rFonts w:ascii="方正小标宋简体" w:eastAsia="方正小标宋简体" w:hAnsi="宋体" w:hint="eastAsia"/>
          <w:sz w:val="72"/>
          <w:szCs w:val="72"/>
        </w:rPr>
        <w:t>审判白皮书</w:t>
      </w:r>
    </w:p>
    <w:p w:rsidR="00CF21EB" w:rsidRPr="00CF21EB" w:rsidRDefault="00CF21EB" w:rsidP="00CF21EB">
      <w:pPr>
        <w:jc w:val="center"/>
        <w:rPr>
          <w:rFonts w:asciiTheme="minorEastAsia" w:eastAsiaTheme="minorEastAsia" w:hAnsiTheme="minorEastAsia"/>
          <w:color w:val="000000"/>
          <w:sz w:val="44"/>
          <w:szCs w:val="44"/>
          <w:shd w:val="clear" w:color="auto" w:fill="FFFFFF"/>
        </w:rPr>
      </w:pPr>
      <w:r w:rsidRPr="00CF21EB">
        <w:rPr>
          <w:rFonts w:asciiTheme="minorEastAsia" w:eastAsiaTheme="minorEastAsia" w:hAnsiTheme="minorEastAsia" w:hint="eastAsia"/>
          <w:sz w:val="44"/>
          <w:szCs w:val="44"/>
        </w:rPr>
        <w:t>（2017年--2019年）</w:t>
      </w:r>
    </w:p>
    <w:p w:rsidR="00CF21EB" w:rsidRDefault="00CF21EB" w:rsidP="00CF21EB">
      <w:pPr>
        <w:ind w:firstLineChars="200" w:firstLine="640"/>
        <w:jc w:val="center"/>
        <w:rPr>
          <w:rFonts w:ascii="仿宋" w:eastAsia="仿宋" w:hAnsi="仿宋"/>
          <w:color w:val="000000"/>
          <w:sz w:val="32"/>
          <w:szCs w:val="32"/>
          <w:shd w:val="clear" w:color="auto" w:fill="FFFFFF"/>
        </w:rPr>
      </w:pPr>
    </w:p>
    <w:p w:rsidR="00CF21EB" w:rsidRDefault="00CF21EB" w:rsidP="00CF21EB">
      <w:pPr>
        <w:ind w:firstLineChars="200" w:firstLine="640"/>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 xml:space="preserve"> </w:t>
      </w:r>
    </w:p>
    <w:p w:rsidR="00CF21EB" w:rsidRDefault="00CF21EB" w:rsidP="00CF21EB">
      <w:pPr>
        <w:ind w:firstLineChars="200" w:firstLine="640"/>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 xml:space="preserve"> </w:t>
      </w:r>
    </w:p>
    <w:p w:rsidR="00CF21EB" w:rsidRDefault="00CF21EB" w:rsidP="00CF21EB">
      <w:pPr>
        <w:ind w:firstLineChars="200" w:firstLine="640"/>
        <w:rPr>
          <w:rFonts w:ascii="仿宋" w:eastAsia="仿宋" w:hAnsi="仿宋"/>
          <w:color w:val="000000"/>
          <w:sz w:val="32"/>
          <w:szCs w:val="32"/>
          <w:shd w:val="clear" w:color="auto" w:fill="FFFFFF"/>
        </w:rPr>
      </w:pPr>
    </w:p>
    <w:p w:rsidR="00CF21EB" w:rsidRDefault="00CF21EB" w:rsidP="00CF21EB">
      <w:pPr>
        <w:ind w:firstLineChars="200" w:firstLine="640"/>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 xml:space="preserve"> </w:t>
      </w:r>
    </w:p>
    <w:p w:rsidR="00CF21EB" w:rsidRDefault="00CF21EB" w:rsidP="00CF21EB">
      <w:pPr>
        <w:ind w:firstLineChars="200" w:firstLine="640"/>
        <w:rPr>
          <w:rFonts w:ascii="仿宋" w:eastAsia="仿宋" w:hAnsi="仿宋"/>
          <w:color w:val="000000"/>
          <w:sz w:val="32"/>
          <w:szCs w:val="32"/>
          <w:shd w:val="clear" w:color="auto" w:fill="FFFFFF"/>
        </w:rPr>
      </w:pPr>
    </w:p>
    <w:p w:rsidR="00CF21EB" w:rsidRPr="00CF21EB" w:rsidRDefault="00CF21EB" w:rsidP="00CF21EB">
      <w:pPr>
        <w:spacing w:line="560" w:lineRule="exact"/>
        <w:jc w:val="center"/>
        <w:rPr>
          <w:rFonts w:asciiTheme="minorEastAsia" w:eastAsiaTheme="minorEastAsia" w:hAnsiTheme="minorEastAsia"/>
          <w:sz w:val="44"/>
          <w:szCs w:val="44"/>
        </w:rPr>
      </w:pPr>
      <w:r w:rsidRPr="00CF21EB">
        <w:rPr>
          <w:rFonts w:asciiTheme="minorEastAsia" w:eastAsiaTheme="minorEastAsia" w:hAnsiTheme="minorEastAsia" w:hint="eastAsia"/>
          <w:sz w:val="44"/>
          <w:szCs w:val="44"/>
        </w:rPr>
        <w:t>青岛市中级人民法院</w:t>
      </w:r>
    </w:p>
    <w:p w:rsidR="00CF21EB" w:rsidRPr="00CF21EB" w:rsidRDefault="00CF21EB" w:rsidP="00CF21EB">
      <w:pPr>
        <w:jc w:val="center"/>
        <w:rPr>
          <w:rFonts w:asciiTheme="minorEastAsia" w:eastAsiaTheme="minorEastAsia" w:hAnsiTheme="minorEastAsia"/>
          <w:color w:val="000000"/>
          <w:sz w:val="44"/>
          <w:szCs w:val="44"/>
          <w:shd w:val="clear" w:color="auto" w:fill="FFFFFF"/>
        </w:rPr>
      </w:pPr>
      <w:r w:rsidRPr="00CF21EB">
        <w:rPr>
          <w:rFonts w:asciiTheme="minorEastAsia" w:eastAsiaTheme="minorEastAsia" w:hAnsiTheme="minorEastAsia" w:hint="eastAsia"/>
          <w:sz w:val="44"/>
          <w:szCs w:val="44"/>
        </w:rPr>
        <w:t>二〇</w:t>
      </w:r>
      <w:r w:rsidR="003B4B7B">
        <w:rPr>
          <w:rFonts w:asciiTheme="minorEastAsia" w:eastAsiaTheme="minorEastAsia" w:hAnsiTheme="minorEastAsia" w:hint="eastAsia"/>
          <w:sz w:val="44"/>
          <w:szCs w:val="44"/>
        </w:rPr>
        <w:t>二</w:t>
      </w:r>
      <w:r w:rsidR="003B4B7B" w:rsidRPr="00CF21EB">
        <w:rPr>
          <w:rFonts w:asciiTheme="minorEastAsia" w:eastAsiaTheme="minorEastAsia" w:hAnsiTheme="minorEastAsia" w:hint="eastAsia"/>
          <w:sz w:val="44"/>
          <w:szCs w:val="44"/>
        </w:rPr>
        <w:t>〇</w:t>
      </w:r>
      <w:r w:rsidRPr="00CF21EB">
        <w:rPr>
          <w:rFonts w:asciiTheme="minorEastAsia" w:eastAsiaTheme="minorEastAsia" w:hAnsiTheme="minorEastAsia" w:hint="eastAsia"/>
          <w:sz w:val="44"/>
          <w:szCs w:val="44"/>
        </w:rPr>
        <w:t>年</w:t>
      </w:r>
      <w:r w:rsidR="003B4B7B">
        <w:rPr>
          <w:rFonts w:asciiTheme="minorEastAsia" w:eastAsiaTheme="minorEastAsia" w:hAnsiTheme="minorEastAsia" w:hint="eastAsia"/>
          <w:sz w:val="44"/>
          <w:szCs w:val="44"/>
        </w:rPr>
        <w:t>四</w:t>
      </w:r>
      <w:r w:rsidRPr="00CF21EB">
        <w:rPr>
          <w:rFonts w:asciiTheme="minorEastAsia" w:eastAsiaTheme="minorEastAsia" w:hAnsiTheme="minorEastAsia" w:hint="eastAsia"/>
          <w:sz w:val="44"/>
          <w:szCs w:val="44"/>
        </w:rPr>
        <w:t>月</w:t>
      </w:r>
    </w:p>
    <w:p w:rsidR="00E74E54" w:rsidRDefault="00E74E54" w:rsidP="00E07526">
      <w:pPr>
        <w:spacing w:line="560" w:lineRule="exact"/>
        <w:jc w:val="center"/>
        <w:rPr>
          <w:rFonts w:ascii="方正小标宋简体" w:eastAsia="方正小标宋简体" w:hAnsi="宋体"/>
          <w:sz w:val="40"/>
          <w:szCs w:val="32"/>
        </w:rPr>
      </w:pPr>
      <w:r>
        <w:rPr>
          <w:rFonts w:ascii="方正小标宋简体" w:eastAsia="方正小标宋简体" w:hAnsi="宋体" w:hint="eastAsia"/>
          <w:sz w:val="40"/>
          <w:szCs w:val="32"/>
        </w:rPr>
        <w:lastRenderedPageBreak/>
        <w:t>青岛市中级人民法院</w:t>
      </w:r>
    </w:p>
    <w:p w:rsidR="00E07526" w:rsidRPr="00065F52" w:rsidRDefault="00E07526" w:rsidP="00FC5571">
      <w:pPr>
        <w:spacing w:line="560" w:lineRule="exact"/>
        <w:jc w:val="center"/>
        <w:rPr>
          <w:rFonts w:ascii="方正小标宋简体" w:eastAsia="方正小标宋简体" w:hAnsi="宋体"/>
          <w:sz w:val="40"/>
          <w:szCs w:val="32"/>
        </w:rPr>
      </w:pPr>
      <w:r w:rsidRPr="00065F52">
        <w:rPr>
          <w:rFonts w:ascii="方正小标宋简体" w:eastAsia="方正小标宋简体" w:hAnsi="宋体" w:hint="eastAsia"/>
          <w:sz w:val="40"/>
          <w:szCs w:val="32"/>
        </w:rPr>
        <w:t>执行异议与执行异议之诉审判白皮书</w:t>
      </w:r>
    </w:p>
    <w:p w:rsidR="006B7F21" w:rsidRPr="00065F52" w:rsidRDefault="006B7F21" w:rsidP="006B7F21">
      <w:pPr>
        <w:rPr>
          <w:rFonts w:ascii="宋体"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r w:rsidRPr="00065F52">
        <w:rPr>
          <w:rFonts w:ascii="仿宋_GB2312" w:eastAsia="仿宋_GB2312" w:hAnsi="宋体" w:hint="eastAsia"/>
          <w:sz w:val="32"/>
          <w:szCs w:val="32"/>
        </w:rPr>
        <w:t>目  录</w:t>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一、前言</w:t>
      </w:r>
      <w:r w:rsidRPr="00065F52">
        <w:rPr>
          <w:rFonts w:ascii="仿宋_GB2312" w:eastAsia="仿宋_GB2312" w:hAnsi="宋体" w:hint="eastAsia"/>
          <w:sz w:val="32"/>
          <w:szCs w:val="32"/>
        </w:rPr>
        <w:tab/>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二、执行异议与执行异议之</w:t>
      </w:r>
      <w:proofErr w:type="gramStart"/>
      <w:r w:rsidRPr="00065F52">
        <w:rPr>
          <w:rFonts w:ascii="仿宋_GB2312" w:eastAsia="仿宋_GB2312" w:hAnsi="宋体" w:hint="eastAsia"/>
          <w:sz w:val="32"/>
          <w:szCs w:val="32"/>
        </w:rPr>
        <w:t>诉基本</w:t>
      </w:r>
      <w:proofErr w:type="gramEnd"/>
      <w:r w:rsidRPr="00065F52">
        <w:rPr>
          <w:rFonts w:ascii="仿宋_GB2312" w:eastAsia="仿宋_GB2312" w:hAnsi="宋体" w:hint="eastAsia"/>
          <w:sz w:val="32"/>
          <w:szCs w:val="32"/>
        </w:rPr>
        <w:t>概况</w:t>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（一）执行异议的类型、特点及审查原则</w:t>
      </w:r>
      <w:r w:rsidRPr="00065F52">
        <w:rPr>
          <w:rFonts w:ascii="仿宋_GB2312" w:eastAsia="仿宋_GB2312" w:hAnsi="宋体" w:hint="eastAsia"/>
          <w:sz w:val="32"/>
          <w:szCs w:val="32"/>
        </w:rPr>
        <w:tab/>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1.执行异议的类型</w:t>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2.执行异议的特点</w:t>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3.执行异议的审查原则</w:t>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（二）执行异议之诉的类型、特点及审查原则</w:t>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1.执行异议之诉的类型</w:t>
      </w:r>
      <w:r w:rsidRPr="00065F52">
        <w:rPr>
          <w:rFonts w:ascii="仿宋_GB2312" w:eastAsia="仿宋_GB2312" w:hAnsi="宋体" w:hint="eastAsia"/>
          <w:sz w:val="32"/>
          <w:szCs w:val="32"/>
        </w:rPr>
        <w:tab/>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2.执行异议之诉案件的主要特点</w:t>
      </w:r>
      <w:r w:rsidRPr="00065F52">
        <w:rPr>
          <w:rFonts w:ascii="仿宋_GB2312" w:eastAsia="仿宋_GB2312" w:hAnsi="宋体" w:hint="eastAsia"/>
          <w:sz w:val="32"/>
          <w:szCs w:val="32"/>
        </w:rPr>
        <w:tab/>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3.执行异议之诉的审查原则</w:t>
      </w:r>
      <w:r w:rsidRPr="00065F52">
        <w:rPr>
          <w:rFonts w:ascii="仿宋_GB2312" w:eastAsia="仿宋_GB2312" w:hAnsi="宋体" w:hint="eastAsia"/>
          <w:sz w:val="32"/>
          <w:szCs w:val="32"/>
        </w:rPr>
        <w:tab/>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三、执行异议与执行异议之诉的裁判概况</w:t>
      </w:r>
      <w:r w:rsidRPr="00065F52">
        <w:rPr>
          <w:rFonts w:ascii="仿宋_GB2312" w:eastAsia="仿宋_GB2312" w:hAnsi="宋体" w:hint="eastAsia"/>
          <w:sz w:val="32"/>
          <w:szCs w:val="32"/>
        </w:rPr>
        <w:tab/>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（一）执行异议与执行异议之诉的基本数据分析</w:t>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1.案件受理情况</w:t>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2.案件审结情况</w:t>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3.审判周期情况</w:t>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4.诉讼标分布情况</w:t>
      </w:r>
      <w:r w:rsidRPr="00065F52">
        <w:rPr>
          <w:rFonts w:ascii="仿宋_GB2312" w:eastAsia="仿宋_GB2312" w:hAnsi="宋体" w:hint="eastAsia"/>
          <w:sz w:val="32"/>
          <w:szCs w:val="32"/>
        </w:rPr>
        <w:tab/>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5.诉讼类型分布情况</w:t>
      </w:r>
      <w:r w:rsidRPr="00065F52">
        <w:rPr>
          <w:rFonts w:ascii="仿宋_GB2312" w:eastAsia="仿宋_GB2312" w:hAnsi="宋体" w:hint="eastAsia"/>
          <w:sz w:val="32"/>
          <w:szCs w:val="32"/>
        </w:rPr>
        <w:tab/>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（二）执行异议与执行异议之诉审查中的常见问题分析</w:t>
      </w:r>
    </w:p>
    <w:p w:rsidR="006B7F21" w:rsidRPr="00065F52" w:rsidRDefault="002E7367"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1.</w:t>
      </w:r>
      <w:r w:rsidR="006B7F21" w:rsidRPr="00065F52">
        <w:rPr>
          <w:rFonts w:ascii="仿宋_GB2312" w:eastAsia="仿宋_GB2312" w:hAnsi="宋体" w:hint="eastAsia"/>
          <w:sz w:val="32"/>
          <w:szCs w:val="32"/>
        </w:rPr>
        <w:t>程序性问题</w:t>
      </w:r>
      <w:r w:rsidR="006B7F21" w:rsidRPr="00065F52">
        <w:rPr>
          <w:rFonts w:ascii="仿宋_GB2312" w:eastAsia="仿宋_GB2312" w:hAnsi="宋体" w:hint="eastAsia"/>
          <w:sz w:val="32"/>
          <w:szCs w:val="32"/>
        </w:rPr>
        <w:tab/>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2.实体性问题</w:t>
      </w:r>
      <w:r w:rsidRPr="00065F52">
        <w:rPr>
          <w:rFonts w:ascii="仿宋_GB2312" w:eastAsia="仿宋_GB2312" w:hAnsi="宋体" w:hint="eastAsia"/>
          <w:sz w:val="32"/>
          <w:szCs w:val="32"/>
        </w:rPr>
        <w:tab/>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lastRenderedPageBreak/>
        <w:t>（三）执行异议与执行异议之诉中的虚假诉讼问题</w:t>
      </w:r>
      <w:r w:rsidRPr="00065F52">
        <w:rPr>
          <w:rFonts w:ascii="仿宋_GB2312" w:eastAsia="仿宋_GB2312" w:hAnsi="宋体" w:hint="eastAsia"/>
          <w:sz w:val="32"/>
          <w:szCs w:val="32"/>
        </w:rPr>
        <w:tab/>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（四）执行异议与执行异议之诉对执行效率的影响</w:t>
      </w:r>
      <w:r w:rsidRPr="00065F52">
        <w:rPr>
          <w:rFonts w:ascii="仿宋_GB2312" w:eastAsia="仿宋_GB2312" w:hAnsi="宋体" w:hint="eastAsia"/>
          <w:sz w:val="32"/>
          <w:szCs w:val="32"/>
        </w:rPr>
        <w:tab/>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四、关于执行异议与执行异议之诉裁判的对策与建议</w:t>
      </w:r>
      <w:r w:rsidRPr="00065F52">
        <w:rPr>
          <w:rFonts w:ascii="仿宋_GB2312" w:eastAsia="仿宋_GB2312" w:hAnsi="宋体" w:hint="eastAsia"/>
          <w:sz w:val="32"/>
          <w:szCs w:val="32"/>
        </w:rPr>
        <w:tab/>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（一）完善裁判标准统一机制</w:t>
      </w:r>
      <w:r w:rsidRPr="00065F52">
        <w:rPr>
          <w:rFonts w:ascii="仿宋_GB2312" w:eastAsia="仿宋_GB2312" w:hAnsi="宋体" w:hint="eastAsia"/>
          <w:sz w:val="32"/>
          <w:szCs w:val="32"/>
        </w:rPr>
        <w:tab/>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（二）推进立审</w:t>
      </w:r>
      <w:proofErr w:type="gramStart"/>
      <w:r w:rsidRPr="00065F52">
        <w:rPr>
          <w:rFonts w:ascii="仿宋_GB2312" w:eastAsia="仿宋_GB2312" w:hAnsi="宋体" w:hint="eastAsia"/>
          <w:sz w:val="32"/>
          <w:szCs w:val="32"/>
        </w:rPr>
        <w:t>执协调</w:t>
      </w:r>
      <w:proofErr w:type="gramEnd"/>
      <w:r w:rsidRPr="00065F52">
        <w:rPr>
          <w:rFonts w:ascii="仿宋_GB2312" w:eastAsia="仿宋_GB2312" w:hAnsi="宋体" w:hint="eastAsia"/>
          <w:sz w:val="32"/>
          <w:szCs w:val="32"/>
        </w:rPr>
        <w:t>配合机制</w:t>
      </w:r>
      <w:r w:rsidRPr="00065F52">
        <w:rPr>
          <w:rFonts w:ascii="仿宋_GB2312" w:eastAsia="仿宋_GB2312" w:hAnsi="宋体" w:hint="eastAsia"/>
          <w:sz w:val="32"/>
          <w:szCs w:val="32"/>
        </w:rPr>
        <w:tab/>
      </w:r>
    </w:p>
    <w:p w:rsidR="006B7F21" w:rsidRPr="00065F52" w:rsidRDefault="006B7F21" w:rsidP="006B7F21">
      <w:pPr>
        <w:spacing w:line="560" w:lineRule="exact"/>
        <w:ind w:firstLine="420"/>
        <w:jc w:val="left"/>
        <w:rPr>
          <w:rFonts w:ascii="仿宋_GB2312" w:eastAsia="仿宋_GB2312" w:hAnsi="宋体"/>
          <w:sz w:val="32"/>
          <w:szCs w:val="32"/>
        </w:rPr>
      </w:pPr>
      <w:r w:rsidRPr="00065F52">
        <w:rPr>
          <w:rFonts w:ascii="仿宋_GB2312" w:eastAsia="仿宋_GB2312" w:hAnsi="宋体" w:hint="eastAsia"/>
          <w:sz w:val="32"/>
          <w:szCs w:val="32"/>
        </w:rPr>
        <w:t>（三）虚假诉讼的规制与责任</w:t>
      </w:r>
      <w:r w:rsidRPr="00065F52">
        <w:rPr>
          <w:rFonts w:ascii="仿宋_GB2312" w:eastAsia="仿宋_GB2312" w:hAnsi="宋体" w:hint="eastAsia"/>
          <w:sz w:val="32"/>
          <w:szCs w:val="32"/>
        </w:rPr>
        <w:tab/>
      </w:r>
    </w:p>
    <w:p w:rsidR="006B7F21" w:rsidRPr="00065F52" w:rsidRDefault="006B7F21" w:rsidP="006B7F21">
      <w:pPr>
        <w:spacing w:line="560" w:lineRule="exact"/>
        <w:ind w:firstLine="420"/>
        <w:jc w:val="center"/>
        <w:rPr>
          <w:rFonts w:ascii="仿宋_GB2312" w:eastAsia="仿宋_GB2312" w:hAnsi="宋体"/>
          <w:sz w:val="48"/>
          <w:szCs w:val="32"/>
        </w:rPr>
      </w:pPr>
    </w:p>
    <w:p w:rsidR="006B7F21" w:rsidRPr="00065F52" w:rsidRDefault="006B7F21" w:rsidP="006B7F21">
      <w:pPr>
        <w:spacing w:line="560" w:lineRule="exact"/>
        <w:ind w:firstLine="420"/>
        <w:jc w:val="center"/>
        <w:rPr>
          <w:rFonts w:ascii="仿宋_GB2312" w:eastAsia="仿宋_GB2312" w:hAnsi="宋体"/>
          <w:sz w:val="48"/>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E74E54">
      <w:pPr>
        <w:keepNext/>
        <w:keepLines/>
        <w:spacing w:line="578" w:lineRule="auto"/>
        <w:jc w:val="center"/>
        <w:outlineLvl w:val="0"/>
        <w:rPr>
          <w:rFonts w:ascii="黑体" w:eastAsia="黑体" w:hAnsi="黑体"/>
          <w:bCs/>
          <w:kern w:val="44"/>
          <w:sz w:val="32"/>
          <w:szCs w:val="32"/>
        </w:rPr>
      </w:pPr>
      <w:bookmarkStart w:id="0" w:name="_Toc36025641"/>
      <w:bookmarkStart w:id="1" w:name="_Toc36025665"/>
      <w:bookmarkStart w:id="2" w:name="_Toc36025827"/>
      <w:bookmarkStart w:id="3" w:name="_Toc36027073"/>
      <w:r w:rsidRPr="00065F52">
        <w:rPr>
          <w:rFonts w:ascii="黑体" w:eastAsia="黑体" w:hAnsi="黑体" w:hint="eastAsia"/>
          <w:bCs/>
          <w:kern w:val="44"/>
          <w:sz w:val="32"/>
          <w:szCs w:val="32"/>
        </w:rPr>
        <w:lastRenderedPageBreak/>
        <w:t>一、前言</w:t>
      </w:r>
      <w:bookmarkEnd w:id="0"/>
      <w:bookmarkEnd w:id="1"/>
      <w:bookmarkEnd w:id="2"/>
      <w:bookmarkEnd w:id="3"/>
    </w:p>
    <w:p w:rsidR="006B7F21" w:rsidRPr="00065F52" w:rsidRDefault="006B7F21" w:rsidP="006B7F21">
      <w:pPr>
        <w:spacing w:line="560" w:lineRule="exact"/>
        <w:ind w:firstLine="630"/>
        <w:rPr>
          <w:rFonts w:ascii="仿宋_GB2312" w:eastAsia="仿宋_GB2312" w:hAnsi="宋体"/>
          <w:sz w:val="32"/>
          <w:szCs w:val="32"/>
        </w:rPr>
      </w:pPr>
      <w:r w:rsidRPr="00065F52">
        <w:rPr>
          <w:rFonts w:ascii="仿宋_GB2312" w:eastAsia="仿宋_GB2312" w:hAnsi="宋体" w:hint="eastAsia"/>
          <w:sz w:val="32"/>
          <w:szCs w:val="32"/>
        </w:rPr>
        <w:t>近年来，审判实践中的执行异议与执行异议之诉案件逐年快速增长。2019年青岛两级法院受理执行异议与执行异议之诉的案件增幅为57%。与同期其他民商事案件相比，民间借贷类案件的增幅为53%，传统婚姻家庭类案件则减少了4.4%。执行异议与执行异议之诉案件的增长幅度已经呈现出与</w:t>
      </w:r>
      <w:proofErr w:type="gramStart"/>
      <w:r w:rsidRPr="00065F52">
        <w:rPr>
          <w:rFonts w:ascii="仿宋_GB2312" w:eastAsia="仿宋_GB2312" w:hAnsi="宋体" w:hint="eastAsia"/>
          <w:sz w:val="32"/>
          <w:szCs w:val="32"/>
        </w:rPr>
        <w:t>部分民</w:t>
      </w:r>
      <w:proofErr w:type="gramEnd"/>
      <w:r w:rsidRPr="00065F52">
        <w:rPr>
          <w:rFonts w:ascii="仿宋_GB2312" w:eastAsia="仿宋_GB2312" w:hAnsi="宋体" w:hint="eastAsia"/>
          <w:sz w:val="32"/>
          <w:szCs w:val="32"/>
        </w:rPr>
        <w:t>商事案件基本持平的趋势，并明显超过</w:t>
      </w:r>
      <w:proofErr w:type="gramStart"/>
      <w:r w:rsidRPr="00065F52">
        <w:rPr>
          <w:rFonts w:ascii="仿宋_GB2312" w:eastAsia="仿宋_GB2312" w:hAnsi="宋体" w:hint="eastAsia"/>
          <w:sz w:val="32"/>
          <w:szCs w:val="32"/>
        </w:rPr>
        <w:t>部分民</w:t>
      </w:r>
      <w:proofErr w:type="gramEnd"/>
      <w:r w:rsidRPr="00065F52">
        <w:rPr>
          <w:rFonts w:ascii="仿宋_GB2312" w:eastAsia="仿宋_GB2312" w:hAnsi="宋体" w:hint="eastAsia"/>
          <w:sz w:val="32"/>
          <w:szCs w:val="32"/>
        </w:rPr>
        <w:t>商事案件的趋势。</w:t>
      </w:r>
    </w:p>
    <w:p w:rsidR="006B7F21" w:rsidRPr="00065F52" w:rsidRDefault="006B7F21" w:rsidP="006B7F21">
      <w:pPr>
        <w:spacing w:line="560" w:lineRule="exact"/>
        <w:ind w:firstLine="630"/>
        <w:rPr>
          <w:rFonts w:ascii="仿宋_GB2312" w:eastAsia="仿宋_GB2312" w:hAnsi="宋体"/>
          <w:sz w:val="32"/>
          <w:szCs w:val="32"/>
        </w:rPr>
      </w:pPr>
      <w:r w:rsidRPr="00065F52">
        <w:rPr>
          <w:rFonts w:ascii="仿宋_GB2312" w:eastAsia="仿宋_GB2312" w:hAnsi="宋体" w:hint="eastAsia"/>
          <w:sz w:val="32"/>
          <w:szCs w:val="32"/>
        </w:rPr>
        <w:t>执行异议与执行异议之诉的审判形式日趋严峻，但具体审查规则尚不系统。执行异议之诉系在2007年《中华人民共和国民事诉讼法》修订后出现的一种诉讼类型。最高人民法院在其后出台的各种司法解释中，如2009年《最高人民法院关于适用〈中华人民共和国民事诉讼法〉执行程序若干问题的解释》、2014年《关于人民法院办理执行异议和复议案件若干问题的规定》、2015年《最高人民法院关于适用&lt;中华人民共和国民事诉讼法&gt;的解释》等，对执行异议诉讼从诉讼程序、实体审查等方面进行了规定。但由于各类审查规则散见于各种司法解释或规定中，缺乏整体系统性。而且，对于执行异议与执行异议之诉的立法本意、实体权利的法理本质、程序衔接的处理规则等，理论界及实践中仍然分歧较大。执行异议与执行异议之诉案件在司法实践中裁判标准不一致的现象也较为严重。此外，执行异议与执行异议之诉一裁两审的程序设置也对执行效率产生了重大影响，案外人提出执行异议，进行虚假诉讼，拖延和规避执行的情况，在司</w:t>
      </w:r>
      <w:r w:rsidRPr="00065F52">
        <w:rPr>
          <w:rFonts w:ascii="仿宋_GB2312" w:eastAsia="仿宋_GB2312" w:hAnsi="宋体" w:hint="eastAsia"/>
          <w:sz w:val="32"/>
          <w:szCs w:val="32"/>
        </w:rPr>
        <w:lastRenderedPageBreak/>
        <w:t>法实践</w:t>
      </w:r>
      <w:r w:rsidRPr="00FE0400">
        <w:rPr>
          <w:rFonts w:ascii="仿宋_GB2312" w:eastAsia="仿宋_GB2312" w:hAnsi="宋体" w:hint="eastAsia"/>
          <w:sz w:val="32"/>
          <w:szCs w:val="32"/>
        </w:rPr>
        <w:t>中</w:t>
      </w:r>
      <w:r w:rsidR="00E74E54" w:rsidRPr="00FE0400">
        <w:rPr>
          <w:rFonts w:ascii="仿宋_GB2312" w:eastAsia="仿宋_GB2312" w:hAnsi="宋体" w:hint="eastAsia"/>
          <w:sz w:val="32"/>
          <w:szCs w:val="32"/>
        </w:rPr>
        <w:t>非常严重</w:t>
      </w:r>
      <w:r w:rsidRPr="00FE0400">
        <w:rPr>
          <w:rFonts w:ascii="仿宋_GB2312" w:eastAsia="仿宋_GB2312" w:hAnsi="宋体" w:hint="eastAsia"/>
          <w:sz w:val="32"/>
          <w:szCs w:val="32"/>
        </w:rPr>
        <w:t>。</w:t>
      </w:r>
      <w:r w:rsidRPr="00065F52">
        <w:rPr>
          <w:rFonts w:ascii="仿宋_GB2312" w:eastAsia="仿宋_GB2312" w:hAnsi="宋体" w:hint="eastAsia"/>
          <w:sz w:val="32"/>
          <w:szCs w:val="32"/>
        </w:rPr>
        <w:t>所以，对于近年来执行异议与执行异议之诉案件审查情况进行司法统计并梳理总结审判经验，是执行异议与执行异议之诉审判实践的题中之义。</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青岛中院民一庭在2016年即开展了执行异议之诉的调研工作，以2014年至2017年期间的执行异议之诉案件为样本，经过一年时间，对司法实践中出现的疑点、难点问题进行总结，并于2017年11月份出台了《青岛市中级人民法院关于执行异议诉讼案件若干问题的处理意见（试行）》。该意见实施之后，对青岛市两级法院的执行异议之诉案件，起到了积极的指导作用，解决了司法实践中的疑点、难点问题，</w:t>
      </w:r>
      <w:r w:rsidRPr="00E74E54">
        <w:rPr>
          <w:rFonts w:ascii="仿宋_GB2312" w:eastAsia="仿宋_GB2312" w:hAnsi="宋体" w:hint="eastAsia"/>
          <w:sz w:val="32"/>
          <w:szCs w:val="32"/>
        </w:rPr>
        <w:t>统一</w:t>
      </w:r>
      <w:r w:rsidR="00E74E54" w:rsidRPr="00E74E54">
        <w:rPr>
          <w:rFonts w:ascii="仿宋_GB2312" w:eastAsia="仿宋_GB2312" w:hAnsi="宋体" w:hint="eastAsia"/>
          <w:sz w:val="32"/>
          <w:szCs w:val="32"/>
        </w:rPr>
        <w:t>了青岛</w:t>
      </w:r>
      <w:r w:rsidRPr="00E74E54">
        <w:rPr>
          <w:rFonts w:ascii="仿宋_GB2312" w:eastAsia="仿宋_GB2312" w:hAnsi="宋体" w:hint="eastAsia"/>
          <w:sz w:val="32"/>
          <w:szCs w:val="32"/>
        </w:rPr>
        <w:t>两级法院</w:t>
      </w:r>
      <w:r w:rsidRPr="00065F52">
        <w:rPr>
          <w:rFonts w:ascii="仿宋_GB2312" w:eastAsia="仿宋_GB2312" w:hAnsi="宋体" w:hint="eastAsia"/>
          <w:sz w:val="32"/>
          <w:szCs w:val="32"/>
        </w:rPr>
        <w:t>的裁判尺度。</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2017年至2019年期间，最高人民法院又陆续出台部分司法解释、意见等，对司法实践中部分程序、实体模糊的问题予以明确。在此背景之下，青岛中院民一庭与执行一庭共同以2017年至2019年期间的执行异议与执行异议之诉案件为样本，再次对执行异议之诉近年来的审查及裁判情况进行梳理、总结，形成本白皮书。</w:t>
      </w: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ind w:firstLine="420"/>
        <w:jc w:val="center"/>
        <w:rPr>
          <w:rFonts w:ascii="仿宋_GB2312" w:eastAsia="仿宋_GB2312" w:hAnsi="宋体"/>
          <w:sz w:val="32"/>
          <w:szCs w:val="32"/>
        </w:rPr>
      </w:pPr>
    </w:p>
    <w:p w:rsidR="006B7F21" w:rsidRPr="00065F52" w:rsidRDefault="006B7F21" w:rsidP="006B7F21">
      <w:pPr>
        <w:spacing w:line="560" w:lineRule="exact"/>
        <w:rPr>
          <w:rFonts w:ascii="仿宋_GB2312" w:eastAsia="仿宋_GB2312" w:hAnsi="宋体"/>
          <w:sz w:val="32"/>
          <w:szCs w:val="32"/>
        </w:rPr>
      </w:pPr>
    </w:p>
    <w:p w:rsidR="006B7F21" w:rsidRPr="00065F52" w:rsidRDefault="006B7F21" w:rsidP="006B7F21">
      <w:pPr>
        <w:keepNext/>
        <w:keepLines/>
        <w:spacing w:line="578" w:lineRule="auto"/>
        <w:jc w:val="center"/>
        <w:outlineLvl w:val="0"/>
        <w:rPr>
          <w:rFonts w:ascii="黑体" w:eastAsia="黑体" w:hAnsi="黑体"/>
          <w:bCs/>
          <w:kern w:val="44"/>
          <w:sz w:val="32"/>
          <w:szCs w:val="32"/>
        </w:rPr>
      </w:pPr>
      <w:bookmarkStart w:id="4" w:name="_Toc36025642"/>
      <w:bookmarkStart w:id="5" w:name="_Toc36025666"/>
      <w:bookmarkStart w:id="6" w:name="_Toc36025828"/>
      <w:bookmarkStart w:id="7" w:name="_Toc36027074"/>
      <w:r w:rsidRPr="00065F52">
        <w:rPr>
          <w:rFonts w:ascii="黑体" w:eastAsia="黑体" w:hAnsi="黑体" w:hint="eastAsia"/>
          <w:bCs/>
          <w:kern w:val="44"/>
          <w:sz w:val="32"/>
          <w:szCs w:val="32"/>
        </w:rPr>
        <w:lastRenderedPageBreak/>
        <w:t>二、执行异议与执行异议之</w:t>
      </w:r>
      <w:proofErr w:type="gramStart"/>
      <w:r w:rsidRPr="00065F52">
        <w:rPr>
          <w:rFonts w:ascii="黑体" w:eastAsia="黑体" w:hAnsi="黑体" w:hint="eastAsia"/>
          <w:bCs/>
          <w:kern w:val="44"/>
          <w:sz w:val="32"/>
          <w:szCs w:val="32"/>
        </w:rPr>
        <w:t>诉基本</w:t>
      </w:r>
      <w:proofErr w:type="gramEnd"/>
      <w:r w:rsidRPr="00065F52">
        <w:rPr>
          <w:rFonts w:ascii="黑体" w:eastAsia="黑体" w:hAnsi="黑体" w:hint="eastAsia"/>
          <w:bCs/>
          <w:kern w:val="44"/>
          <w:sz w:val="32"/>
          <w:szCs w:val="32"/>
        </w:rPr>
        <w:t>概况</w:t>
      </w:r>
      <w:bookmarkEnd w:id="4"/>
      <w:bookmarkEnd w:id="5"/>
      <w:bookmarkEnd w:id="6"/>
      <w:bookmarkEnd w:id="7"/>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执行异议与执行异议之诉是诉讼保全或强制执行过程中，案外人对于被保全或被执行的标的物提出异议，主张对该标的物享有实体权益而引发的一类案件类型。在执行过程中，标的物公示的权利状态与其实际权利状态有时存在差异，机械的推进执行程序，按照权利公示状态对标的物采取强制执行措施，</w:t>
      </w:r>
      <w:r w:rsidR="00E74E54" w:rsidRPr="00FE0400">
        <w:rPr>
          <w:rFonts w:ascii="仿宋_GB2312" w:eastAsia="仿宋_GB2312" w:hAnsi="宋体" w:hint="eastAsia"/>
          <w:sz w:val="32"/>
          <w:szCs w:val="32"/>
        </w:rPr>
        <w:t>可能</w:t>
      </w:r>
      <w:r w:rsidRPr="00FE0400">
        <w:rPr>
          <w:rFonts w:ascii="仿宋_GB2312" w:eastAsia="仿宋_GB2312" w:hAnsi="宋体" w:hint="eastAsia"/>
          <w:sz w:val="32"/>
          <w:szCs w:val="32"/>
        </w:rPr>
        <w:t>侵害</w:t>
      </w:r>
      <w:r w:rsidRPr="00065F52">
        <w:rPr>
          <w:rFonts w:ascii="仿宋_GB2312" w:eastAsia="仿宋_GB2312" w:hAnsi="宋体" w:hint="eastAsia"/>
          <w:sz w:val="32"/>
          <w:szCs w:val="32"/>
        </w:rPr>
        <w:t>实际权利人的合法权益。因此，我国民事诉讼法中专门规定了案外人执行异议之诉的诉讼程序，用以规范执行、保全程序，避免当事人的合法权益受到侵害。</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执行异议与执行异议之诉在诉讼程序中，是法院对案外人执行异议进行处理的两个诉讼阶段。案外人提出执行异议之后，先由执行部门对案外人异议进行程序审查，确定属于</w:t>
      </w:r>
      <w:r w:rsidRPr="00E05C58">
        <w:rPr>
          <w:rFonts w:ascii="仿宋_GB2312" w:eastAsia="仿宋_GB2312" w:hAnsi="宋体" w:hint="eastAsia"/>
          <w:sz w:val="32"/>
          <w:szCs w:val="32"/>
        </w:rPr>
        <w:t>行为异议</w:t>
      </w:r>
      <w:r w:rsidRPr="00065F52">
        <w:rPr>
          <w:rFonts w:ascii="仿宋_GB2312" w:eastAsia="仿宋_GB2312" w:hAnsi="宋体" w:hint="eastAsia"/>
          <w:sz w:val="32"/>
          <w:szCs w:val="32"/>
        </w:rPr>
        <w:t>还是实体异议。经审查，属于实体异议，当事人可以在收到执行审查裁定后，提出执行异议之诉。属于行为异议的，当事人需要通过执行复议程序处理。执行实体异议与执行行为异议针对的审查标的存在本质上的不同。两者之间的区别详见下表：</w:t>
      </w:r>
    </w:p>
    <w:p w:rsidR="003B57C8" w:rsidRDefault="003B57C8" w:rsidP="006B7F21">
      <w:pPr>
        <w:spacing w:line="560" w:lineRule="exact"/>
        <w:ind w:firstLineChars="200" w:firstLine="640"/>
        <w:rPr>
          <w:rFonts w:ascii="仿宋_GB2312" w:eastAsia="仿宋_GB2312" w:hAnsi="宋体"/>
          <w:sz w:val="32"/>
          <w:szCs w:val="32"/>
        </w:rPr>
      </w:pPr>
      <w:r>
        <w:rPr>
          <w:rFonts w:ascii="仿宋_GB2312" w:eastAsia="仿宋_GB2312" w:hAnsi="宋体" w:hint="eastAsia"/>
          <w:noProof/>
          <w:sz w:val="32"/>
          <w:szCs w:val="32"/>
        </w:rPr>
        <w:drawing>
          <wp:anchor distT="48768" distB="16510" distL="224028" distR="195072" simplePos="0" relativeHeight="251697152" behindDoc="0" locked="0" layoutInCell="1" allowOverlap="1">
            <wp:simplePos x="0" y="0"/>
            <wp:positionH relativeFrom="column">
              <wp:posOffset>374650</wp:posOffset>
            </wp:positionH>
            <wp:positionV relativeFrom="paragraph">
              <wp:posOffset>120015</wp:posOffset>
            </wp:positionV>
            <wp:extent cx="4597400" cy="2305050"/>
            <wp:effectExtent l="0" t="0" r="0" b="0"/>
            <wp:wrapNone/>
            <wp:docPr id="13" name="对象 7"/>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97988" cy="4400550"/>
                      <a:chOff x="1381125" y="1350963"/>
                      <a:chExt cx="9297988" cy="4400550"/>
                    </a:xfrm>
                  </a:grpSpPr>
                  <a:sp>
                    <a:nvSpPr>
                      <a:cNvPr id="26626" name="TextBox 2"/>
                      <a:cNvSpPr txBox="1">
                        <a:spLocks noChangeArrowheads="1"/>
                      </a:cNvSpPr>
                    </a:nvSpPr>
                    <a:spPr bwMode="auto">
                      <a:xfrm>
                        <a:off x="1381125" y="5213350"/>
                        <a:ext cx="1979613" cy="523875"/>
                      </a:xfrm>
                      <a:prstGeom prst="rect">
                        <a:avLst/>
                      </a:prstGeom>
                      <a:noFill/>
                      <a:ln w="2857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宋体" pitchFamily="2" charset="-122"/>
                              <a:cs typeface="+mn-cs"/>
                            </a:defRPr>
                          </a:lvl1pPr>
                          <a:lvl2pPr marL="457200" algn="l" rtl="0" fontAlgn="base">
                            <a:spcBef>
                              <a:spcPct val="0"/>
                            </a:spcBef>
                            <a:spcAft>
                              <a:spcPct val="0"/>
                            </a:spcAft>
                            <a:defRPr kern="1200">
                              <a:solidFill>
                                <a:schemeClr val="tx1"/>
                              </a:solidFill>
                              <a:latin typeface="Arial" pitchFamily="34" charset="0"/>
                              <a:ea typeface="宋体" pitchFamily="2" charset="-122"/>
                              <a:cs typeface="+mn-cs"/>
                            </a:defRPr>
                          </a:lvl2pPr>
                          <a:lvl3pPr marL="914400" algn="l" rtl="0" fontAlgn="base">
                            <a:spcBef>
                              <a:spcPct val="0"/>
                            </a:spcBef>
                            <a:spcAft>
                              <a:spcPct val="0"/>
                            </a:spcAft>
                            <a:defRPr kern="1200">
                              <a:solidFill>
                                <a:schemeClr val="tx1"/>
                              </a:solidFill>
                              <a:latin typeface="Arial" pitchFamily="34" charset="0"/>
                              <a:ea typeface="宋体" pitchFamily="2" charset="-122"/>
                              <a:cs typeface="+mn-cs"/>
                            </a:defRPr>
                          </a:lvl3pPr>
                          <a:lvl4pPr marL="1371600" algn="l" rtl="0" fontAlgn="base">
                            <a:spcBef>
                              <a:spcPct val="0"/>
                            </a:spcBef>
                            <a:spcAft>
                              <a:spcPct val="0"/>
                            </a:spcAft>
                            <a:defRPr kern="1200">
                              <a:solidFill>
                                <a:schemeClr val="tx1"/>
                              </a:solidFill>
                              <a:latin typeface="Arial" pitchFamily="34" charset="0"/>
                              <a:ea typeface="宋体" pitchFamily="2" charset="-122"/>
                              <a:cs typeface="+mn-cs"/>
                            </a:defRPr>
                          </a:lvl4pPr>
                          <a:lvl5pPr marL="1828800" algn="l" rtl="0" fontAlgn="base">
                            <a:spcBef>
                              <a:spcPct val="0"/>
                            </a:spcBef>
                            <a:spcAft>
                              <a:spcPct val="0"/>
                            </a:spcAft>
                            <a:defRPr kern="1200">
                              <a:solidFill>
                                <a:schemeClr val="tx1"/>
                              </a:solidFill>
                              <a:latin typeface="Arial" pitchFamily="34" charset="0"/>
                              <a:ea typeface="宋体" pitchFamily="2" charset="-122"/>
                              <a:cs typeface="+mn-cs"/>
                            </a:defRPr>
                          </a:lvl5pPr>
                          <a:lvl6pPr marL="2286000" algn="l" defTabSz="914400" rtl="0" eaLnBrk="1" latinLnBrk="0" hangingPunct="1">
                            <a:defRPr kern="1200">
                              <a:solidFill>
                                <a:schemeClr val="tx1"/>
                              </a:solidFill>
                              <a:latin typeface="Arial" pitchFamily="34" charset="0"/>
                              <a:ea typeface="宋体" pitchFamily="2" charset="-122"/>
                              <a:cs typeface="+mn-cs"/>
                            </a:defRPr>
                          </a:lvl6pPr>
                          <a:lvl7pPr marL="2743200" algn="l" defTabSz="914400" rtl="0" eaLnBrk="1" latinLnBrk="0" hangingPunct="1">
                            <a:defRPr kern="1200">
                              <a:solidFill>
                                <a:schemeClr val="tx1"/>
                              </a:solidFill>
                              <a:latin typeface="Arial" pitchFamily="34" charset="0"/>
                              <a:ea typeface="宋体" pitchFamily="2" charset="-122"/>
                              <a:cs typeface="+mn-cs"/>
                            </a:defRPr>
                          </a:lvl7pPr>
                          <a:lvl8pPr marL="3200400" algn="l" defTabSz="914400" rtl="0" eaLnBrk="1" latinLnBrk="0" hangingPunct="1">
                            <a:defRPr kern="1200">
                              <a:solidFill>
                                <a:schemeClr val="tx1"/>
                              </a:solidFill>
                              <a:latin typeface="Arial" pitchFamily="34" charset="0"/>
                              <a:ea typeface="宋体" pitchFamily="2" charset="-122"/>
                              <a:cs typeface="+mn-cs"/>
                            </a:defRPr>
                          </a:lvl8pPr>
                          <a:lvl9pPr marL="3657600" algn="l" defTabSz="914400" rtl="0" eaLnBrk="1" latinLnBrk="0" hangingPunct="1">
                            <a:defRPr kern="1200">
                              <a:solidFill>
                                <a:schemeClr val="tx1"/>
                              </a:solidFill>
                              <a:latin typeface="Arial" pitchFamily="34" charset="0"/>
                              <a:ea typeface="宋体" pitchFamily="2" charset="-122"/>
                              <a:cs typeface="+mn-cs"/>
                            </a:defRPr>
                          </a:lvl9pPr>
                        </a:lstStyle>
                        <a:p>
                          <a:r>
                            <a:rPr lang="zh-CN" altLang="en-US" sz="2800">
                              <a:latin typeface="Tw Cen MT"/>
                            </a:rPr>
                            <a:t>申请执行人</a:t>
                          </a:r>
                        </a:p>
                      </a:txBody>
                      <a:useSpRect/>
                    </a:txSp>
                  </a:sp>
                  <a:sp>
                    <a:nvSpPr>
                      <a:cNvPr id="26627" name="TextBox 4"/>
                      <a:cNvSpPr txBox="1">
                        <a:spLocks noChangeArrowheads="1"/>
                      </a:cNvSpPr>
                    </a:nvSpPr>
                    <a:spPr bwMode="auto">
                      <a:xfrm>
                        <a:off x="4322763" y="5210175"/>
                        <a:ext cx="1620837" cy="523875"/>
                      </a:xfrm>
                      <a:prstGeom prst="rect">
                        <a:avLst/>
                      </a:prstGeom>
                      <a:noFill/>
                      <a:ln w="2857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宋体" pitchFamily="2" charset="-122"/>
                              <a:cs typeface="+mn-cs"/>
                            </a:defRPr>
                          </a:lvl1pPr>
                          <a:lvl2pPr marL="457200" algn="l" rtl="0" fontAlgn="base">
                            <a:spcBef>
                              <a:spcPct val="0"/>
                            </a:spcBef>
                            <a:spcAft>
                              <a:spcPct val="0"/>
                            </a:spcAft>
                            <a:defRPr kern="1200">
                              <a:solidFill>
                                <a:schemeClr val="tx1"/>
                              </a:solidFill>
                              <a:latin typeface="Arial" pitchFamily="34" charset="0"/>
                              <a:ea typeface="宋体" pitchFamily="2" charset="-122"/>
                              <a:cs typeface="+mn-cs"/>
                            </a:defRPr>
                          </a:lvl2pPr>
                          <a:lvl3pPr marL="914400" algn="l" rtl="0" fontAlgn="base">
                            <a:spcBef>
                              <a:spcPct val="0"/>
                            </a:spcBef>
                            <a:spcAft>
                              <a:spcPct val="0"/>
                            </a:spcAft>
                            <a:defRPr kern="1200">
                              <a:solidFill>
                                <a:schemeClr val="tx1"/>
                              </a:solidFill>
                              <a:latin typeface="Arial" pitchFamily="34" charset="0"/>
                              <a:ea typeface="宋体" pitchFamily="2" charset="-122"/>
                              <a:cs typeface="+mn-cs"/>
                            </a:defRPr>
                          </a:lvl3pPr>
                          <a:lvl4pPr marL="1371600" algn="l" rtl="0" fontAlgn="base">
                            <a:spcBef>
                              <a:spcPct val="0"/>
                            </a:spcBef>
                            <a:spcAft>
                              <a:spcPct val="0"/>
                            </a:spcAft>
                            <a:defRPr kern="1200">
                              <a:solidFill>
                                <a:schemeClr val="tx1"/>
                              </a:solidFill>
                              <a:latin typeface="Arial" pitchFamily="34" charset="0"/>
                              <a:ea typeface="宋体" pitchFamily="2" charset="-122"/>
                              <a:cs typeface="+mn-cs"/>
                            </a:defRPr>
                          </a:lvl4pPr>
                          <a:lvl5pPr marL="1828800" algn="l" rtl="0" fontAlgn="base">
                            <a:spcBef>
                              <a:spcPct val="0"/>
                            </a:spcBef>
                            <a:spcAft>
                              <a:spcPct val="0"/>
                            </a:spcAft>
                            <a:defRPr kern="1200">
                              <a:solidFill>
                                <a:schemeClr val="tx1"/>
                              </a:solidFill>
                              <a:latin typeface="Arial" pitchFamily="34" charset="0"/>
                              <a:ea typeface="宋体" pitchFamily="2" charset="-122"/>
                              <a:cs typeface="+mn-cs"/>
                            </a:defRPr>
                          </a:lvl5pPr>
                          <a:lvl6pPr marL="2286000" algn="l" defTabSz="914400" rtl="0" eaLnBrk="1" latinLnBrk="0" hangingPunct="1">
                            <a:defRPr kern="1200">
                              <a:solidFill>
                                <a:schemeClr val="tx1"/>
                              </a:solidFill>
                              <a:latin typeface="Arial" pitchFamily="34" charset="0"/>
                              <a:ea typeface="宋体" pitchFamily="2" charset="-122"/>
                              <a:cs typeface="+mn-cs"/>
                            </a:defRPr>
                          </a:lvl6pPr>
                          <a:lvl7pPr marL="2743200" algn="l" defTabSz="914400" rtl="0" eaLnBrk="1" latinLnBrk="0" hangingPunct="1">
                            <a:defRPr kern="1200">
                              <a:solidFill>
                                <a:schemeClr val="tx1"/>
                              </a:solidFill>
                              <a:latin typeface="Arial" pitchFamily="34" charset="0"/>
                              <a:ea typeface="宋体" pitchFamily="2" charset="-122"/>
                              <a:cs typeface="+mn-cs"/>
                            </a:defRPr>
                          </a:lvl7pPr>
                          <a:lvl8pPr marL="3200400" algn="l" defTabSz="914400" rtl="0" eaLnBrk="1" latinLnBrk="0" hangingPunct="1">
                            <a:defRPr kern="1200">
                              <a:solidFill>
                                <a:schemeClr val="tx1"/>
                              </a:solidFill>
                              <a:latin typeface="Arial" pitchFamily="34" charset="0"/>
                              <a:ea typeface="宋体" pitchFamily="2" charset="-122"/>
                              <a:cs typeface="+mn-cs"/>
                            </a:defRPr>
                          </a:lvl8pPr>
                          <a:lvl9pPr marL="3657600" algn="l" defTabSz="914400" rtl="0" eaLnBrk="1" latinLnBrk="0" hangingPunct="1">
                            <a:defRPr kern="1200">
                              <a:solidFill>
                                <a:schemeClr val="tx1"/>
                              </a:solidFill>
                              <a:latin typeface="Arial" pitchFamily="34" charset="0"/>
                              <a:ea typeface="宋体" pitchFamily="2" charset="-122"/>
                              <a:cs typeface="+mn-cs"/>
                            </a:defRPr>
                          </a:lvl9pPr>
                        </a:lstStyle>
                        <a:p>
                          <a:r>
                            <a:rPr lang="zh-CN" altLang="en-US" sz="2800">
                              <a:latin typeface="Tw Cen MT"/>
                            </a:rPr>
                            <a:t>争议标的</a:t>
                          </a:r>
                        </a:p>
                      </a:txBody>
                      <a:useSpRect/>
                    </a:txSp>
                  </a:sp>
                  <a:sp>
                    <a:nvSpPr>
                      <a:cNvPr id="26628" name="TextBox 7"/>
                      <a:cNvSpPr txBox="1">
                        <a:spLocks noChangeArrowheads="1"/>
                      </a:cNvSpPr>
                    </a:nvSpPr>
                    <a:spPr bwMode="auto">
                      <a:xfrm>
                        <a:off x="6784975" y="5229225"/>
                        <a:ext cx="1620838" cy="522288"/>
                      </a:xfrm>
                      <a:prstGeom prst="rect">
                        <a:avLst/>
                      </a:prstGeom>
                      <a:noFill/>
                      <a:ln w="2857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宋体" pitchFamily="2" charset="-122"/>
                              <a:cs typeface="+mn-cs"/>
                            </a:defRPr>
                          </a:lvl1pPr>
                          <a:lvl2pPr marL="457200" algn="l" rtl="0" fontAlgn="base">
                            <a:spcBef>
                              <a:spcPct val="0"/>
                            </a:spcBef>
                            <a:spcAft>
                              <a:spcPct val="0"/>
                            </a:spcAft>
                            <a:defRPr kern="1200">
                              <a:solidFill>
                                <a:schemeClr val="tx1"/>
                              </a:solidFill>
                              <a:latin typeface="Arial" pitchFamily="34" charset="0"/>
                              <a:ea typeface="宋体" pitchFamily="2" charset="-122"/>
                              <a:cs typeface="+mn-cs"/>
                            </a:defRPr>
                          </a:lvl2pPr>
                          <a:lvl3pPr marL="914400" algn="l" rtl="0" fontAlgn="base">
                            <a:spcBef>
                              <a:spcPct val="0"/>
                            </a:spcBef>
                            <a:spcAft>
                              <a:spcPct val="0"/>
                            </a:spcAft>
                            <a:defRPr kern="1200">
                              <a:solidFill>
                                <a:schemeClr val="tx1"/>
                              </a:solidFill>
                              <a:latin typeface="Arial" pitchFamily="34" charset="0"/>
                              <a:ea typeface="宋体" pitchFamily="2" charset="-122"/>
                              <a:cs typeface="+mn-cs"/>
                            </a:defRPr>
                          </a:lvl3pPr>
                          <a:lvl4pPr marL="1371600" algn="l" rtl="0" fontAlgn="base">
                            <a:spcBef>
                              <a:spcPct val="0"/>
                            </a:spcBef>
                            <a:spcAft>
                              <a:spcPct val="0"/>
                            </a:spcAft>
                            <a:defRPr kern="1200">
                              <a:solidFill>
                                <a:schemeClr val="tx1"/>
                              </a:solidFill>
                              <a:latin typeface="Arial" pitchFamily="34" charset="0"/>
                              <a:ea typeface="宋体" pitchFamily="2" charset="-122"/>
                              <a:cs typeface="+mn-cs"/>
                            </a:defRPr>
                          </a:lvl4pPr>
                          <a:lvl5pPr marL="1828800" algn="l" rtl="0" fontAlgn="base">
                            <a:spcBef>
                              <a:spcPct val="0"/>
                            </a:spcBef>
                            <a:spcAft>
                              <a:spcPct val="0"/>
                            </a:spcAft>
                            <a:defRPr kern="1200">
                              <a:solidFill>
                                <a:schemeClr val="tx1"/>
                              </a:solidFill>
                              <a:latin typeface="Arial" pitchFamily="34" charset="0"/>
                              <a:ea typeface="宋体" pitchFamily="2" charset="-122"/>
                              <a:cs typeface="+mn-cs"/>
                            </a:defRPr>
                          </a:lvl5pPr>
                          <a:lvl6pPr marL="2286000" algn="l" defTabSz="914400" rtl="0" eaLnBrk="1" latinLnBrk="0" hangingPunct="1">
                            <a:defRPr kern="1200">
                              <a:solidFill>
                                <a:schemeClr val="tx1"/>
                              </a:solidFill>
                              <a:latin typeface="Arial" pitchFamily="34" charset="0"/>
                              <a:ea typeface="宋体" pitchFamily="2" charset="-122"/>
                              <a:cs typeface="+mn-cs"/>
                            </a:defRPr>
                          </a:lvl6pPr>
                          <a:lvl7pPr marL="2743200" algn="l" defTabSz="914400" rtl="0" eaLnBrk="1" latinLnBrk="0" hangingPunct="1">
                            <a:defRPr kern="1200">
                              <a:solidFill>
                                <a:schemeClr val="tx1"/>
                              </a:solidFill>
                              <a:latin typeface="Arial" pitchFamily="34" charset="0"/>
                              <a:ea typeface="宋体" pitchFamily="2" charset="-122"/>
                              <a:cs typeface="+mn-cs"/>
                            </a:defRPr>
                          </a:lvl7pPr>
                          <a:lvl8pPr marL="3200400" algn="l" defTabSz="914400" rtl="0" eaLnBrk="1" latinLnBrk="0" hangingPunct="1">
                            <a:defRPr kern="1200">
                              <a:solidFill>
                                <a:schemeClr val="tx1"/>
                              </a:solidFill>
                              <a:latin typeface="Arial" pitchFamily="34" charset="0"/>
                              <a:ea typeface="宋体" pitchFamily="2" charset="-122"/>
                              <a:cs typeface="+mn-cs"/>
                            </a:defRPr>
                          </a:lvl8pPr>
                          <a:lvl9pPr marL="3657600" algn="l" defTabSz="914400" rtl="0" eaLnBrk="1" latinLnBrk="0" hangingPunct="1">
                            <a:defRPr kern="1200">
                              <a:solidFill>
                                <a:schemeClr val="tx1"/>
                              </a:solidFill>
                              <a:latin typeface="Arial" pitchFamily="34" charset="0"/>
                              <a:ea typeface="宋体" pitchFamily="2" charset="-122"/>
                              <a:cs typeface="+mn-cs"/>
                            </a:defRPr>
                          </a:lvl9pPr>
                        </a:lstStyle>
                        <a:p>
                          <a:r>
                            <a:rPr lang="zh-CN" altLang="en-US" sz="2800">
                              <a:latin typeface="Tw Cen MT"/>
                            </a:rPr>
                            <a:t>被执行人</a:t>
                          </a:r>
                        </a:p>
                      </a:txBody>
                      <a:useSpRect/>
                    </a:txSp>
                  </a:sp>
                  <a:cxnSp>
                    <a:nvCxnSpPr>
                      <a:cNvPr id="10" name="直接箭头连接符 9"/>
                      <a:cNvCxnSpPr>
                        <a:stCxn id="26626" idx="3"/>
                        <a:endCxn id="26627" idx="1"/>
                      </a:cNvCxnSpPr>
                    </a:nvCxnSpPr>
                    <a:spPr>
                      <a:xfrm flipV="1">
                        <a:off x="3360738" y="5472113"/>
                        <a:ext cx="962025" cy="3175"/>
                      </a:xfrm>
                      <a:prstGeom prst="straightConnector1">
                        <a:avLst/>
                      </a:prstGeom>
                      <a:ln w="28575">
                        <a:tailEnd type="arrow"/>
                      </a:ln>
                    </a:spPr>
                    <a:style>
                      <a:lnRef idx="1">
                        <a:schemeClr val="accent1"/>
                      </a:lnRef>
                      <a:fillRef idx="0">
                        <a:schemeClr val="accent1"/>
                      </a:fillRef>
                      <a:effectRef idx="0">
                        <a:schemeClr val="accent1"/>
                      </a:effectRef>
                      <a:fontRef idx="minor">
                        <a:schemeClr val="tx1"/>
                      </a:fontRef>
                    </a:style>
                  </a:cxnSp>
                  <a:cxnSp>
                    <a:nvCxnSpPr>
                      <a:cNvPr id="12" name="直接箭头连接符 11"/>
                      <a:cNvCxnSpPr>
                        <a:stCxn id="26628" idx="1"/>
                        <a:endCxn id="26627" idx="3"/>
                      </a:cNvCxnSpPr>
                    </a:nvCxnSpPr>
                    <a:spPr>
                      <a:xfrm rot="10800000">
                        <a:off x="5943600" y="5472113"/>
                        <a:ext cx="841375" cy="17462"/>
                      </a:xfrm>
                      <a:prstGeom prst="straightConnector1">
                        <a:avLst/>
                      </a:prstGeom>
                      <a:ln w="28575">
                        <a:tailEnd type="arrow"/>
                      </a:ln>
                    </a:spPr>
                    <a:style>
                      <a:lnRef idx="1">
                        <a:schemeClr val="accent1"/>
                      </a:lnRef>
                      <a:fillRef idx="0">
                        <a:schemeClr val="accent1"/>
                      </a:fillRef>
                      <a:effectRef idx="0">
                        <a:schemeClr val="accent1"/>
                      </a:effectRef>
                      <a:fontRef idx="minor">
                        <a:schemeClr val="tx1"/>
                      </a:fontRef>
                    </a:style>
                  </a:cxnSp>
                  <a:sp>
                    <a:nvSpPr>
                      <a:cNvPr id="26631" name="TextBox 13"/>
                      <a:cNvSpPr txBox="1">
                        <a:spLocks noChangeArrowheads="1"/>
                      </a:cNvSpPr>
                    </a:nvSpPr>
                    <a:spPr bwMode="auto">
                      <a:xfrm>
                        <a:off x="3305175" y="3595688"/>
                        <a:ext cx="3776663" cy="523875"/>
                      </a:xfrm>
                      <a:prstGeom prst="rect">
                        <a:avLst/>
                      </a:prstGeom>
                      <a:noFill/>
                      <a:ln w="2857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宋体" pitchFamily="2" charset="-122"/>
                              <a:cs typeface="+mn-cs"/>
                            </a:defRPr>
                          </a:lvl1pPr>
                          <a:lvl2pPr marL="457200" algn="l" rtl="0" fontAlgn="base">
                            <a:spcBef>
                              <a:spcPct val="0"/>
                            </a:spcBef>
                            <a:spcAft>
                              <a:spcPct val="0"/>
                            </a:spcAft>
                            <a:defRPr kern="1200">
                              <a:solidFill>
                                <a:schemeClr val="tx1"/>
                              </a:solidFill>
                              <a:latin typeface="Arial" pitchFamily="34" charset="0"/>
                              <a:ea typeface="宋体" pitchFamily="2" charset="-122"/>
                              <a:cs typeface="+mn-cs"/>
                            </a:defRPr>
                          </a:lvl2pPr>
                          <a:lvl3pPr marL="914400" algn="l" rtl="0" fontAlgn="base">
                            <a:spcBef>
                              <a:spcPct val="0"/>
                            </a:spcBef>
                            <a:spcAft>
                              <a:spcPct val="0"/>
                            </a:spcAft>
                            <a:defRPr kern="1200">
                              <a:solidFill>
                                <a:schemeClr val="tx1"/>
                              </a:solidFill>
                              <a:latin typeface="Arial" pitchFamily="34" charset="0"/>
                              <a:ea typeface="宋体" pitchFamily="2" charset="-122"/>
                              <a:cs typeface="+mn-cs"/>
                            </a:defRPr>
                          </a:lvl3pPr>
                          <a:lvl4pPr marL="1371600" algn="l" rtl="0" fontAlgn="base">
                            <a:spcBef>
                              <a:spcPct val="0"/>
                            </a:spcBef>
                            <a:spcAft>
                              <a:spcPct val="0"/>
                            </a:spcAft>
                            <a:defRPr kern="1200">
                              <a:solidFill>
                                <a:schemeClr val="tx1"/>
                              </a:solidFill>
                              <a:latin typeface="Arial" pitchFamily="34" charset="0"/>
                              <a:ea typeface="宋体" pitchFamily="2" charset="-122"/>
                              <a:cs typeface="+mn-cs"/>
                            </a:defRPr>
                          </a:lvl4pPr>
                          <a:lvl5pPr marL="1828800" algn="l" rtl="0" fontAlgn="base">
                            <a:spcBef>
                              <a:spcPct val="0"/>
                            </a:spcBef>
                            <a:spcAft>
                              <a:spcPct val="0"/>
                            </a:spcAft>
                            <a:defRPr kern="1200">
                              <a:solidFill>
                                <a:schemeClr val="tx1"/>
                              </a:solidFill>
                              <a:latin typeface="Arial" pitchFamily="34" charset="0"/>
                              <a:ea typeface="宋体" pitchFamily="2" charset="-122"/>
                              <a:cs typeface="+mn-cs"/>
                            </a:defRPr>
                          </a:lvl5pPr>
                          <a:lvl6pPr marL="2286000" algn="l" defTabSz="914400" rtl="0" eaLnBrk="1" latinLnBrk="0" hangingPunct="1">
                            <a:defRPr kern="1200">
                              <a:solidFill>
                                <a:schemeClr val="tx1"/>
                              </a:solidFill>
                              <a:latin typeface="Arial" pitchFamily="34" charset="0"/>
                              <a:ea typeface="宋体" pitchFamily="2" charset="-122"/>
                              <a:cs typeface="+mn-cs"/>
                            </a:defRPr>
                          </a:lvl6pPr>
                          <a:lvl7pPr marL="2743200" algn="l" defTabSz="914400" rtl="0" eaLnBrk="1" latinLnBrk="0" hangingPunct="1">
                            <a:defRPr kern="1200">
                              <a:solidFill>
                                <a:schemeClr val="tx1"/>
                              </a:solidFill>
                              <a:latin typeface="Arial" pitchFamily="34" charset="0"/>
                              <a:ea typeface="宋体" pitchFamily="2" charset="-122"/>
                              <a:cs typeface="+mn-cs"/>
                            </a:defRPr>
                          </a:lvl7pPr>
                          <a:lvl8pPr marL="3200400" algn="l" defTabSz="914400" rtl="0" eaLnBrk="1" latinLnBrk="0" hangingPunct="1">
                            <a:defRPr kern="1200">
                              <a:solidFill>
                                <a:schemeClr val="tx1"/>
                              </a:solidFill>
                              <a:latin typeface="Arial" pitchFamily="34" charset="0"/>
                              <a:ea typeface="宋体" pitchFamily="2" charset="-122"/>
                              <a:cs typeface="+mn-cs"/>
                            </a:defRPr>
                          </a:lvl8pPr>
                          <a:lvl9pPr marL="3657600" algn="l" defTabSz="914400" rtl="0" eaLnBrk="1" latinLnBrk="0" hangingPunct="1">
                            <a:defRPr kern="1200">
                              <a:solidFill>
                                <a:schemeClr val="tx1"/>
                              </a:solidFill>
                              <a:latin typeface="Arial" pitchFamily="34" charset="0"/>
                              <a:ea typeface="宋体" pitchFamily="2" charset="-122"/>
                              <a:cs typeface="+mn-cs"/>
                            </a:defRPr>
                          </a:lvl9pPr>
                        </a:lstStyle>
                        <a:p>
                          <a:r>
                            <a:rPr lang="zh-CN" altLang="en-US" sz="2800">
                              <a:latin typeface="Tw Cen MT"/>
                            </a:rPr>
                            <a:t>被执行人名下其他财产</a:t>
                          </a:r>
                        </a:p>
                      </a:txBody>
                      <a:useSpRect/>
                    </a:txSp>
                  </a:sp>
                  <a:cxnSp>
                    <a:nvCxnSpPr>
                      <a:cNvPr id="18" name="直接箭头连接符 17"/>
                      <a:cNvCxnSpPr>
                        <a:stCxn id="26626" idx="0"/>
                        <a:endCxn id="26631" idx="2"/>
                      </a:cNvCxnSpPr>
                    </a:nvCxnSpPr>
                    <a:spPr>
                      <a:xfrm rot="5400000" flipH="1" flipV="1">
                        <a:off x="3235325" y="3254376"/>
                        <a:ext cx="1093787" cy="2824162"/>
                      </a:xfrm>
                      <a:prstGeom prst="straightConnector1">
                        <a:avLst/>
                      </a:prstGeom>
                      <a:ln w="28575">
                        <a:tailEnd type="arrow"/>
                      </a:ln>
                    </a:spPr>
                    <a:style>
                      <a:lnRef idx="1">
                        <a:schemeClr val="accent1"/>
                      </a:lnRef>
                      <a:fillRef idx="0">
                        <a:schemeClr val="accent1"/>
                      </a:fillRef>
                      <a:effectRef idx="0">
                        <a:schemeClr val="accent1"/>
                      </a:effectRef>
                      <a:fontRef idx="minor">
                        <a:schemeClr val="tx1"/>
                      </a:fontRef>
                    </a:style>
                  </a:cxnSp>
                  <a:cxnSp>
                    <a:nvCxnSpPr>
                      <a:cNvPr id="20" name="直接箭头连接符 19"/>
                      <a:cNvCxnSpPr>
                        <a:stCxn id="26631" idx="2"/>
                        <a:endCxn id="26628" idx="0"/>
                      </a:cNvCxnSpPr>
                    </a:nvCxnSpPr>
                    <a:spPr>
                      <a:xfrm rot="16200000" flipH="1">
                        <a:off x="5839619" y="3474244"/>
                        <a:ext cx="1109662" cy="2400300"/>
                      </a:xfrm>
                      <a:prstGeom prst="straightConnector1">
                        <a:avLst/>
                      </a:prstGeom>
                      <a:ln w="28575">
                        <a:tailEnd type="arrow"/>
                      </a:ln>
                    </a:spPr>
                    <a:style>
                      <a:lnRef idx="1">
                        <a:schemeClr val="accent1"/>
                      </a:lnRef>
                      <a:fillRef idx="0">
                        <a:schemeClr val="accent1"/>
                      </a:fillRef>
                      <a:effectRef idx="0">
                        <a:schemeClr val="accent1"/>
                      </a:effectRef>
                      <a:fontRef idx="minor">
                        <a:schemeClr val="tx1"/>
                      </a:fontRef>
                    </a:style>
                  </a:cxnSp>
                  <a:sp>
                    <a:nvSpPr>
                      <a:cNvPr id="26634" name="TextBox 25"/>
                      <a:cNvSpPr txBox="1">
                        <a:spLocks noChangeArrowheads="1"/>
                      </a:cNvSpPr>
                    </a:nvSpPr>
                    <a:spPr bwMode="auto">
                      <a:xfrm>
                        <a:off x="9417050" y="3552825"/>
                        <a:ext cx="1262063" cy="522288"/>
                      </a:xfrm>
                      <a:prstGeom prst="rect">
                        <a:avLst/>
                      </a:prstGeom>
                      <a:noFill/>
                      <a:ln w="2857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宋体" pitchFamily="2" charset="-122"/>
                              <a:cs typeface="+mn-cs"/>
                            </a:defRPr>
                          </a:lvl1pPr>
                          <a:lvl2pPr marL="457200" algn="l" rtl="0" fontAlgn="base">
                            <a:spcBef>
                              <a:spcPct val="0"/>
                            </a:spcBef>
                            <a:spcAft>
                              <a:spcPct val="0"/>
                            </a:spcAft>
                            <a:defRPr kern="1200">
                              <a:solidFill>
                                <a:schemeClr val="tx1"/>
                              </a:solidFill>
                              <a:latin typeface="Arial" pitchFamily="34" charset="0"/>
                              <a:ea typeface="宋体" pitchFamily="2" charset="-122"/>
                              <a:cs typeface="+mn-cs"/>
                            </a:defRPr>
                          </a:lvl2pPr>
                          <a:lvl3pPr marL="914400" algn="l" rtl="0" fontAlgn="base">
                            <a:spcBef>
                              <a:spcPct val="0"/>
                            </a:spcBef>
                            <a:spcAft>
                              <a:spcPct val="0"/>
                            </a:spcAft>
                            <a:defRPr kern="1200">
                              <a:solidFill>
                                <a:schemeClr val="tx1"/>
                              </a:solidFill>
                              <a:latin typeface="Arial" pitchFamily="34" charset="0"/>
                              <a:ea typeface="宋体" pitchFamily="2" charset="-122"/>
                              <a:cs typeface="+mn-cs"/>
                            </a:defRPr>
                          </a:lvl3pPr>
                          <a:lvl4pPr marL="1371600" algn="l" rtl="0" fontAlgn="base">
                            <a:spcBef>
                              <a:spcPct val="0"/>
                            </a:spcBef>
                            <a:spcAft>
                              <a:spcPct val="0"/>
                            </a:spcAft>
                            <a:defRPr kern="1200">
                              <a:solidFill>
                                <a:schemeClr val="tx1"/>
                              </a:solidFill>
                              <a:latin typeface="Arial" pitchFamily="34" charset="0"/>
                              <a:ea typeface="宋体" pitchFamily="2" charset="-122"/>
                              <a:cs typeface="+mn-cs"/>
                            </a:defRPr>
                          </a:lvl4pPr>
                          <a:lvl5pPr marL="1828800" algn="l" rtl="0" fontAlgn="base">
                            <a:spcBef>
                              <a:spcPct val="0"/>
                            </a:spcBef>
                            <a:spcAft>
                              <a:spcPct val="0"/>
                            </a:spcAft>
                            <a:defRPr kern="1200">
                              <a:solidFill>
                                <a:schemeClr val="tx1"/>
                              </a:solidFill>
                              <a:latin typeface="Arial" pitchFamily="34" charset="0"/>
                              <a:ea typeface="宋体" pitchFamily="2" charset="-122"/>
                              <a:cs typeface="+mn-cs"/>
                            </a:defRPr>
                          </a:lvl5pPr>
                          <a:lvl6pPr marL="2286000" algn="l" defTabSz="914400" rtl="0" eaLnBrk="1" latinLnBrk="0" hangingPunct="1">
                            <a:defRPr kern="1200">
                              <a:solidFill>
                                <a:schemeClr val="tx1"/>
                              </a:solidFill>
                              <a:latin typeface="Arial" pitchFamily="34" charset="0"/>
                              <a:ea typeface="宋体" pitchFamily="2" charset="-122"/>
                              <a:cs typeface="+mn-cs"/>
                            </a:defRPr>
                          </a:lvl6pPr>
                          <a:lvl7pPr marL="2743200" algn="l" defTabSz="914400" rtl="0" eaLnBrk="1" latinLnBrk="0" hangingPunct="1">
                            <a:defRPr kern="1200">
                              <a:solidFill>
                                <a:schemeClr val="tx1"/>
                              </a:solidFill>
                              <a:latin typeface="Arial" pitchFamily="34" charset="0"/>
                              <a:ea typeface="宋体" pitchFamily="2" charset="-122"/>
                              <a:cs typeface="+mn-cs"/>
                            </a:defRPr>
                          </a:lvl7pPr>
                          <a:lvl8pPr marL="3200400" algn="l" defTabSz="914400" rtl="0" eaLnBrk="1" latinLnBrk="0" hangingPunct="1">
                            <a:defRPr kern="1200">
                              <a:solidFill>
                                <a:schemeClr val="tx1"/>
                              </a:solidFill>
                              <a:latin typeface="Arial" pitchFamily="34" charset="0"/>
                              <a:ea typeface="宋体" pitchFamily="2" charset="-122"/>
                              <a:cs typeface="+mn-cs"/>
                            </a:defRPr>
                          </a:lvl8pPr>
                          <a:lvl9pPr marL="3657600" algn="l" defTabSz="914400" rtl="0" eaLnBrk="1" latinLnBrk="0" hangingPunct="1">
                            <a:defRPr kern="1200">
                              <a:solidFill>
                                <a:schemeClr val="tx1"/>
                              </a:solidFill>
                              <a:latin typeface="Arial" pitchFamily="34" charset="0"/>
                              <a:ea typeface="宋体" pitchFamily="2" charset="-122"/>
                              <a:cs typeface="+mn-cs"/>
                            </a:defRPr>
                          </a:lvl9pPr>
                        </a:lstStyle>
                        <a:p>
                          <a:r>
                            <a:rPr lang="zh-CN" altLang="en-US" sz="2800">
                              <a:latin typeface="Tw Cen MT"/>
                            </a:rPr>
                            <a:t>案外人</a:t>
                          </a:r>
                        </a:p>
                      </a:txBody>
                      <a:useSpRect/>
                    </a:txSp>
                  </a:sp>
                  <a:cxnSp>
                    <a:nvCxnSpPr>
                      <a:cNvPr id="28" name="直接箭头连接符 27"/>
                      <a:cNvCxnSpPr>
                        <a:endCxn id="26631" idx="3"/>
                      </a:cNvCxnSpPr>
                    </a:nvCxnSpPr>
                    <a:spPr>
                      <a:xfrm rot="10800000" flipV="1">
                        <a:off x="7081838" y="3848100"/>
                        <a:ext cx="2343150" cy="9525"/>
                      </a:xfrm>
                      <a:prstGeom prst="straightConnector1">
                        <a:avLst/>
                      </a:prstGeom>
                      <a:ln w="28575">
                        <a:tailEnd type="arrow"/>
                      </a:ln>
                    </a:spPr>
                    <a:style>
                      <a:lnRef idx="1">
                        <a:schemeClr val="accent1"/>
                      </a:lnRef>
                      <a:fillRef idx="0">
                        <a:schemeClr val="accent1"/>
                      </a:fillRef>
                      <a:effectRef idx="0">
                        <a:schemeClr val="accent1"/>
                      </a:effectRef>
                      <a:fontRef idx="minor">
                        <a:schemeClr val="tx1"/>
                      </a:fontRef>
                    </a:style>
                  </a:cxnSp>
                  <a:sp>
                    <a:nvSpPr>
                      <a:cNvPr id="26636" name="TextBox 28"/>
                      <a:cNvSpPr txBox="1">
                        <a:spLocks noChangeArrowheads="1"/>
                      </a:cNvSpPr>
                    </a:nvSpPr>
                    <a:spPr bwMode="auto">
                      <a:xfrm>
                        <a:off x="2287588" y="4467225"/>
                        <a:ext cx="3206327" cy="646331"/>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宋体" pitchFamily="2" charset="-122"/>
                              <a:cs typeface="+mn-cs"/>
                            </a:defRPr>
                          </a:lvl1pPr>
                          <a:lvl2pPr marL="457200" algn="l" rtl="0" fontAlgn="base">
                            <a:spcBef>
                              <a:spcPct val="0"/>
                            </a:spcBef>
                            <a:spcAft>
                              <a:spcPct val="0"/>
                            </a:spcAft>
                            <a:defRPr kern="1200">
                              <a:solidFill>
                                <a:schemeClr val="tx1"/>
                              </a:solidFill>
                              <a:latin typeface="Arial" pitchFamily="34" charset="0"/>
                              <a:ea typeface="宋体" pitchFamily="2" charset="-122"/>
                              <a:cs typeface="+mn-cs"/>
                            </a:defRPr>
                          </a:lvl2pPr>
                          <a:lvl3pPr marL="914400" algn="l" rtl="0" fontAlgn="base">
                            <a:spcBef>
                              <a:spcPct val="0"/>
                            </a:spcBef>
                            <a:spcAft>
                              <a:spcPct val="0"/>
                            </a:spcAft>
                            <a:defRPr kern="1200">
                              <a:solidFill>
                                <a:schemeClr val="tx1"/>
                              </a:solidFill>
                              <a:latin typeface="Arial" pitchFamily="34" charset="0"/>
                              <a:ea typeface="宋体" pitchFamily="2" charset="-122"/>
                              <a:cs typeface="+mn-cs"/>
                            </a:defRPr>
                          </a:lvl3pPr>
                          <a:lvl4pPr marL="1371600" algn="l" rtl="0" fontAlgn="base">
                            <a:spcBef>
                              <a:spcPct val="0"/>
                            </a:spcBef>
                            <a:spcAft>
                              <a:spcPct val="0"/>
                            </a:spcAft>
                            <a:defRPr kern="1200">
                              <a:solidFill>
                                <a:schemeClr val="tx1"/>
                              </a:solidFill>
                              <a:latin typeface="Arial" pitchFamily="34" charset="0"/>
                              <a:ea typeface="宋体" pitchFamily="2" charset="-122"/>
                              <a:cs typeface="+mn-cs"/>
                            </a:defRPr>
                          </a:lvl4pPr>
                          <a:lvl5pPr marL="1828800" algn="l" rtl="0" fontAlgn="base">
                            <a:spcBef>
                              <a:spcPct val="0"/>
                            </a:spcBef>
                            <a:spcAft>
                              <a:spcPct val="0"/>
                            </a:spcAft>
                            <a:defRPr kern="1200">
                              <a:solidFill>
                                <a:schemeClr val="tx1"/>
                              </a:solidFill>
                              <a:latin typeface="Arial" pitchFamily="34" charset="0"/>
                              <a:ea typeface="宋体" pitchFamily="2" charset="-122"/>
                              <a:cs typeface="+mn-cs"/>
                            </a:defRPr>
                          </a:lvl5pPr>
                          <a:lvl6pPr marL="2286000" algn="l" defTabSz="914400" rtl="0" eaLnBrk="1" latinLnBrk="0" hangingPunct="1">
                            <a:defRPr kern="1200">
                              <a:solidFill>
                                <a:schemeClr val="tx1"/>
                              </a:solidFill>
                              <a:latin typeface="Arial" pitchFamily="34" charset="0"/>
                              <a:ea typeface="宋体" pitchFamily="2" charset="-122"/>
                              <a:cs typeface="+mn-cs"/>
                            </a:defRPr>
                          </a:lvl6pPr>
                          <a:lvl7pPr marL="2743200" algn="l" defTabSz="914400" rtl="0" eaLnBrk="1" latinLnBrk="0" hangingPunct="1">
                            <a:defRPr kern="1200">
                              <a:solidFill>
                                <a:schemeClr val="tx1"/>
                              </a:solidFill>
                              <a:latin typeface="Arial" pitchFamily="34" charset="0"/>
                              <a:ea typeface="宋体" pitchFamily="2" charset="-122"/>
                              <a:cs typeface="+mn-cs"/>
                            </a:defRPr>
                          </a:lvl7pPr>
                          <a:lvl8pPr marL="3200400" algn="l" defTabSz="914400" rtl="0" eaLnBrk="1" latinLnBrk="0" hangingPunct="1">
                            <a:defRPr kern="1200">
                              <a:solidFill>
                                <a:schemeClr val="tx1"/>
                              </a:solidFill>
                              <a:latin typeface="Arial" pitchFamily="34" charset="0"/>
                              <a:ea typeface="宋体" pitchFamily="2" charset="-122"/>
                              <a:cs typeface="+mn-cs"/>
                            </a:defRPr>
                          </a:lvl8pPr>
                          <a:lvl9pPr marL="3657600" algn="l" defTabSz="914400" rtl="0" eaLnBrk="1" latinLnBrk="0" hangingPunct="1">
                            <a:defRPr kern="1200">
                              <a:solidFill>
                                <a:schemeClr val="tx1"/>
                              </a:solidFill>
                              <a:latin typeface="Arial" pitchFamily="34" charset="0"/>
                              <a:ea typeface="宋体" pitchFamily="2" charset="-122"/>
                              <a:cs typeface="+mn-cs"/>
                            </a:defRPr>
                          </a:lvl9pPr>
                        </a:lstStyle>
                        <a:p>
                          <a:r>
                            <a:rPr lang="zh-CN" altLang="en-US" b="1" dirty="0" smtClean="0">
                              <a:latin typeface="Tw Cen MT"/>
                            </a:rPr>
                            <a:t>查封、扣押、冻结等执行措施</a:t>
                          </a:r>
                          <a:endParaRPr lang="en-US" altLang="zh-CN" b="1" dirty="0" smtClean="0">
                            <a:latin typeface="Tw Cen MT"/>
                          </a:endParaRPr>
                        </a:p>
                        <a:p>
                          <a:r>
                            <a:rPr lang="zh-CN" altLang="en-US" b="1" dirty="0" smtClean="0">
                              <a:latin typeface="Tw Cen MT"/>
                            </a:rPr>
                            <a:t>拍卖、变卖等执行处置行为</a:t>
                          </a:r>
                          <a:endParaRPr lang="zh-CN" altLang="en-US" b="1" dirty="0">
                            <a:latin typeface="Tw Cen MT"/>
                          </a:endParaRPr>
                        </a:p>
                      </a:txBody>
                      <a:useSpRect/>
                    </a:txSp>
                  </a:sp>
                  <a:sp>
                    <a:nvSpPr>
                      <a:cNvPr id="26637" name="TextBox 29"/>
                      <a:cNvSpPr txBox="1">
                        <a:spLocks noChangeArrowheads="1"/>
                      </a:cNvSpPr>
                    </a:nvSpPr>
                    <a:spPr bwMode="auto">
                      <a:xfrm>
                        <a:off x="7491413" y="3859213"/>
                        <a:ext cx="1570037" cy="369887"/>
                      </a:xfrm>
                      <a:prstGeom prst="rect">
                        <a:avLst/>
                      </a:prstGeom>
                      <a:noFill/>
                      <a:ln w="9525">
                        <a:no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宋体" pitchFamily="2" charset="-122"/>
                              <a:cs typeface="+mn-cs"/>
                            </a:defRPr>
                          </a:lvl1pPr>
                          <a:lvl2pPr marL="457200" algn="l" rtl="0" fontAlgn="base">
                            <a:spcBef>
                              <a:spcPct val="0"/>
                            </a:spcBef>
                            <a:spcAft>
                              <a:spcPct val="0"/>
                            </a:spcAft>
                            <a:defRPr kern="1200">
                              <a:solidFill>
                                <a:schemeClr val="tx1"/>
                              </a:solidFill>
                              <a:latin typeface="Arial" pitchFamily="34" charset="0"/>
                              <a:ea typeface="宋体" pitchFamily="2" charset="-122"/>
                              <a:cs typeface="+mn-cs"/>
                            </a:defRPr>
                          </a:lvl2pPr>
                          <a:lvl3pPr marL="914400" algn="l" rtl="0" fontAlgn="base">
                            <a:spcBef>
                              <a:spcPct val="0"/>
                            </a:spcBef>
                            <a:spcAft>
                              <a:spcPct val="0"/>
                            </a:spcAft>
                            <a:defRPr kern="1200">
                              <a:solidFill>
                                <a:schemeClr val="tx1"/>
                              </a:solidFill>
                              <a:latin typeface="Arial" pitchFamily="34" charset="0"/>
                              <a:ea typeface="宋体" pitchFamily="2" charset="-122"/>
                              <a:cs typeface="+mn-cs"/>
                            </a:defRPr>
                          </a:lvl3pPr>
                          <a:lvl4pPr marL="1371600" algn="l" rtl="0" fontAlgn="base">
                            <a:spcBef>
                              <a:spcPct val="0"/>
                            </a:spcBef>
                            <a:spcAft>
                              <a:spcPct val="0"/>
                            </a:spcAft>
                            <a:defRPr kern="1200">
                              <a:solidFill>
                                <a:schemeClr val="tx1"/>
                              </a:solidFill>
                              <a:latin typeface="Arial" pitchFamily="34" charset="0"/>
                              <a:ea typeface="宋体" pitchFamily="2" charset="-122"/>
                              <a:cs typeface="+mn-cs"/>
                            </a:defRPr>
                          </a:lvl4pPr>
                          <a:lvl5pPr marL="1828800" algn="l" rtl="0" fontAlgn="base">
                            <a:spcBef>
                              <a:spcPct val="0"/>
                            </a:spcBef>
                            <a:spcAft>
                              <a:spcPct val="0"/>
                            </a:spcAft>
                            <a:defRPr kern="1200">
                              <a:solidFill>
                                <a:schemeClr val="tx1"/>
                              </a:solidFill>
                              <a:latin typeface="Arial" pitchFamily="34" charset="0"/>
                              <a:ea typeface="宋体" pitchFamily="2" charset="-122"/>
                              <a:cs typeface="+mn-cs"/>
                            </a:defRPr>
                          </a:lvl5pPr>
                          <a:lvl6pPr marL="2286000" algn="l" defTabSz="914400" rtl="0" eaLnBrk="1" latinLnBrk="0" hangingPunct="1">
                            <a:defRPr kern="1200">
                              <a:solidFill>
                                <a:schemeClr val="tx1"/>
                              </a:solidFill>
                              <a:latin typeface="Arial" pitchFamily="34" charset="0"/>
                              <a:ea typeface="宋体" pitchFamily="2" charset="-122"/>
                              <a:cs typeface="+mn-cs"/>
                            </a:defRPr>
                          </a:lvl6pPr>
                          <a:lvl7pPr marL="2743200" algn="l" defTabSz="914400" rtl="0" eaLnBrk="1" latinLnBrk="0" hangingPunct="1">
                            <a:defRPr kern="1200">
                              <a:solidFill>
                                <a:schemeClr val="tx1"/>
                              </a:solidFill>
                              <a:latin typeface="Arial" pitchFamily="34" charset="0"/>
                              <a:ea typeface="宋体" pitchFamily="2" charset="-122"/>
                              <a:cs typeface="+mn-cs"/>
                            </a:defRPr>
                          </a:lvl7pPr>
                          <a:lvl8pPr marL="3200400" algn="l" defTabSz="914400" rtl="0" eaLnBrk="1" latinLnBrk="0" hangingPunct="1">
                            <a:defRPr kern="1200">
                              <a:solidFill>
                                <a:schemeClr val="tx1"/>
                              </a:solidFill>
                              <a:latin typeface="Arial" pitchFamily="34" charset="0"/>
                              <a:ea typeface="宋体" pitchFamily="2" charset="-122"/>
                              <a:cs typeface="+mn-cs"/>
                            </a:defRPr>
                          </a:lvl8pPr>
                          <a:lvl9pPr marL="3657600" algn="l" defTabSz="914400" rtl="0" eaLnBrk="1" latinLnBrk="0" hangingPunct="1">
                            <a:defRPr kern="1200">
                              <a:solidFill>
                                <a:schemeClr val="tx1"/>
                              </a:solidFill>
                              <a:latin typeface="Arial" pitchFamily="34" charset="0"/>
                              <a:ea typeface="宋体" pitchFamily="2" charset="-122"/>
                              <a:cs typeface="+mn-cs"/>
                            </a:defRPr>
                          </a:lvl9pPr>
                        </a:lstStyle>
                        <a:p>
                          <a:r>
                            <a:rPr lang="zh-CN" altLang="en-US" b="1">
                              <a:latin typeface="Tw Cen MT"/>
                            </a:rPr>
                            <a:t>主张实体权利</a:t>
                          </a:r>
                        </a:p>
                      </a:txBody>
                      <a:useSpRect/>
                    </a:txSp>
                  </a:sp>
                  <a:cxnSp>
                    <a:nvCxnSpPr>
                      <a:cNvPr id="49" name="直接箭头连接符 48"/>
                      <a:cNvCxnSpPr/>
                    </a:nvCxnSpPr>
                    <a:spPr>
                      <a:xfrm rot="16200000" flipV="1">
                        <a:off x="7869238" y="3498850"/>
                        <a:ext cx="730250" cy="9525"/>
                      </a:xfrm>
                      <a:prstGeom prst="straightConnector1">
                        <a:avLst/>
                      </a:prstGeom>
                      <a:ln w="28575">
                        <a:tailEnd type="arrow"/>
                      </a:ln>
                    </a:spPr>
                    <a:style>
                      <a:lnRef idx="1">
                        <a:schemeClr val="accent1"/>
                      </a:lnRef>
                      <a:fillRef idx="0">
                        <a:schemeClr val="accent1"/>
                      </a:fillRef>
                      <a:effectRef idx="0">
                        <a:schemeClr val="accent1"/>
                      </a:effectRef>
                      <a:fontRef idx="minor">
                        <a:schemeClr val="tx1"/>
                      </a:fontRef>
                    </a:style>
                  </a:cxnSp>
                  <a:sp>
                    <a:nvSpPr>
                      <a:cNvPr id="26639" name="TextBox 49"/>
                      <a:cNvSpPr txBox="1">
                        <a:spLocks noChangeArrowheads="1"/>
                      </a:cNvSpPr>
                    </a:nvSpPr>
                    <a:spPr bwMode="auto">
                      <a:xfrm>
                        <a:off x="7045325" y="2614613"/>
                        <a:ext cx="2339975" cy="522287"/>
                      </a:xfrm>
                      <a:prstGeom prst="rect">
                        <a:avLst/>
                      </a:prstGeom>
                      <a:noFill/>
                      <a:ln w="2857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宋体" pitchFamily="2" charset="-122"/>
                              <a:cs typeface="+mn-cs"/>
                            </a:defRPr>
                          </a:lvl1pPr>
                          <a:lvl2pPr marL="457200" algn="l" rtl="0" fontAlgn="base">
                            <a:spcBef>
                              <a:spcPct val="0"/>
                            </a:spcBef>
                            <a:spcAft>
                              <a:spcPct val="0"/>
                            </a:spcAft>
                            <a:defRPr kern="1200">
                              <a:solidFill>
                                <a:schemeClr val="tx1"/>
                              </a:solidFill>
                              <a:latin typeface="Arial" pitchFamily="34" charset="0"/>
                              <a:ea typeface="宋体" pitchFamily="2" charset="-122"/>
                              <a:cs typeface="+mn-cs"/>
                            </a:defRPr>
                          </a:lvl2pPr>
                          <a:lvl3pPr marL="914400" algn="l" rtl="0" fontAlgn="base">
                            <a:spcBef>
                              <a:spcPct val="0"/>
                            </a:spcBef>
                            <a:spcAft>
                              <a:spcPct val="0"/>
                            </a:spcAft>
                            <a:defRPr kern="1200">
                              <a:solidFill>
                                <a:schemeClr val="tx1"/>
                              </a:solidFill>
                              <a:latin typeface="Arial" pitchFamily="34" charset="0"/>
                              <a:ea typeface="宋体" pitchFamily="2" charset="-122"/>
                              <a:cs typeface="+mn-cs"/>
                            </a:defRPr>
                          </a:lvl3pPr>
                          <a:lvl4pPr marL="1371600" algn="l" rtl="0" fontAlgn="base">
                            <a:spcBef>
                              <a:spcPct val="0"/>
                            </a:spcBef>
                            <a:spcAft>
                              <a:spcPct val="0"/>
                            </a:spcAft>
                            <a:defRPr kern="1200">
                              <a:solidFill>
                                <a:schemeClr val="tx1"/>
                              </a:solidFill>
                              <a:latin typeface="Arial" pitchFamily="34" charset="0"/>
                              <a:ea typeface="宋体" pitchFamily="2" charset="-122"/>
                              <a:cs typeface="+mn-cs"/>
                            </a:defRPr>
                          </a:lvl4pPr>
                          <a:lvl5pPr marL="1828800" algn="l" rtl="0" fontAlgn="base">
                            <a:spcBef>
                              <a:spcPct val="0"/>
                            </a:spcBef>
                            <a:spcAft>
                              <a:spcPct val="0"/>
                            </a:spcAft>
                            <a:defRPr kern="1200">
                              <a:solidFill>
                                <a:schemeClr val="tx1"/>
                              </a:solidFill>
                              <a:latin typeface="Arial" pitchFamily="34" charset="0"/>
                              <a:ea typeface="宋体" pitchFamily="2" charset="-122"/>
                              <a:cs typeface="+mn-cs"/>
                            </a:defRPr>
                          </a:lvl5pPr>
                          <a:lvl6pPr marL="2286000" algn="l" defTabSz="914400" rtl="0" eaLnBrk="1" latinLnBrk="0" hangingPunct="1">
                            <a:defRPr kern="1200">
                              <a:solidFill>
                                <a:schemeClr val="tx1"/>
                              </a:solidFill>
                              <a:latin typeface="Arial" pitchFamily="34" charset="0"/>
                              <a:ea typeface="宋体" pitchFamily="2" charset="-122"/>
                              <a:cs typeface="+mn-cs"/>
                            </a:defRPr>
                          </a:lvl6pPr>
                          <a:lvl7pPr marL="2743200" algn="l" defTabSz="914400" rtl="0" eaLnBrk="1" latinLnBrk="0" hangingPunct="1">
                            <a:defRPr kern="1200">
                              <a:solidFill>
                                <a:schemeClr val="tx1"/>
                              </a:solidFill>
                              <a:latin typeface="Arial" pitchFamily="34" charset="0"/>
                              <a:ea typeface="宋体" pitchFamily="2" charset="-122"/>
                              <a:cs typeface="+mn-cs"/>
                            </a:defRPr>
                          </a:lvl7pPr>
                          <a:lvl8pPr marL="3200400" algn="l" defTabSz="914400" rtl="0" eaLnBrk="1" latinLnBrk="0" hangingPunct="1">
                            <a:defRPr kern="1200">
                              <a:solidFill>
                                <a:schemeClr val="tx1"/>
                              </a:solidFill>
                              <a:latin typeface="Arial" pitchFamily="34" charset="0"/>
                              <a:ea typeface="宋体" pitchFamily="2" charset="-122"/>
                              <a:cs typeface="+mn-cs"/>
                            </a:defRPr>
                          </a:lvl8pPr>
                          <a:lvl9pPr marL="3657600" algn="l" defTabSz="914400" rtl="0" eaLnBrk="1" latinLnBrk="0" hangingPunct="1">
                            <a:defRPr kern="1200">
                              <a:solidFill>
                                <a:schemeClr val="tx1"/>
                              </a:solidFill>
                              <a:latin typeface="Arial" pitchFamily="34" charset="0"/>
                              <a:ea typeface="宋体" pitchFamily="2" charset="-122"/>
                              <a:cs typeface="+mn-cs"/>
                            </a:defRPr>
                          </a:lvl9pPr>
                        </a:lstStyle>
                        <a:p>
                          <a:r>
                            <a:rPr lang="zh-CN" altLang="en-US" sz="2800">
                              <a:latin typeface="Tw Cen MT"/>
                            </a:rPr>
                            <a:t>执行实体异议</a:t>
                          </a:r>
                        </a:p>
                      </a:txBody>
                      <a:useSpRect/>
                    </a:txSp>
                  </a:sp>
                  <a:sp>
                    <a:nvSpPr>
                      <a:cNvPr id="26641" name="TextBox 16"/>
                      <a:cNvSpPr txBox="1">
                        <a:spLocks noChangeArrowheads="1"/>
                      </a:cNvSpPr>
                    </a:nvSpPr>
                    <a:spPr bwMode="auto">
                      <a:xfrm>
                        <a:off x="6951663" y="1350963"/>
                        <a:ext cx="2339975" cy="523875"/>
                      </a:xfrm>
                      <a:prstGeom prst="rect">
                        <a:avLst/>
                      </a:prstGeom>
                      <a:noFill/>
                      <a:ln w="2857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宋体" pitchFamily="2" charset="-122"/>
                              <a:cs typeface="+mn-cs"/>
                            </a:defRPr>
                          </a:lvl1pPr>
                          <a:lvl2pPr marL="457200" algn="l" rtl="0" fontAlgn="base">
                            <a:spcBef>
                              <a:spcPct val="0"/>
                            </a:spcBef>
                            <a:spcAft>
                              <a:spcPct val="0"/>
                            </a:spcAft>
                            <a:defRPr kern="1200">
                              <a:solidFill>
                                <a:schemeClr val="tx1"/>
                              </a:solidFill>
                              <a:latin typeface="Arial" pitchFamily="34" charset="0"/>
                              <a:ea typeface="宋体" pitchFamily="2" charset="-122"/>
                              <a:cs typeface="+mn-cs"/>
                            </a:defRPr>
                          </a:lvl2pPr>
                          <a:lvl3pPr marL="914400" algn="l" rtl="0" fontAlgn="base">
                            <a:spcBef>
                              <a:spcPct val="0"/>
                            </a:spcBef>
                            <a:spcAft>
                              <a:spcPct val="0"/>
                            </a:spcAft>
                            <a:defRPr kern="1200">
                              <a:solidFill>
                                <a:schemeClr val="tx1"/>
                              </a:solidFill>
                              <a:latin typeface="Arial" pitchFamily="34" charset="0"/>
                              <a:ea typeface="宋体" pitchFamily="2" charset="-122"/>
                              <a:cs typeface="+mn-cs"/>
                            </a:defRPr>
                          </a:lvl3pPr>
                          <a:lvl4pPr marL="1371600" algn="l" rtl="0" fontAlgn="base">
                            <a:spcBef>
                              <a:spcPct val="0"/>
                            </a:spcBef>
                            <a:spcAft>
                              <a:spcPct val="0"/>
                            </a:spcAft>
                            <a:defRPr kern="1200">
                              <a:solidFill>
                                <a:schemeClr val="tx1"/>
                              </a:solidFill>
                              <a:latin typeface="Arial" pitchFamily="34" charset="0"/>
                              <a:ea typeface="宋体" pitchFamily="2" charset="-122"/>
                              <a:cs typeface="+mn-cs"/>
                            </a:defRPr>
                          </a:lvl4pPr>
                          <a:lvl5pPr marL="1828800" algn="l" rtl="0" fontAlgn="base">
                            <a:spcBef>
                              <a:spcPct val="0"/>
                            </a:spcBef>
                            <a:spcAft>
                              <a:spcPct val="0"/>
                            </a:spcAft>
                            <a:defRPr kern="1200">
                              <a:solidFill>
                                <a:schemeClr val="tx1"/>
                              </a:solidFill>
                              <a:latin typeface="Arial" pitchFamily="34" charset="0"/>
                              <a:ea typeface="宋体" pitchFamily="2" charset="-122"/>
                              <a:cs typeface="+mn-cs"/>
                            </a:defRPr>
                          </a:lvl5pPr>
                          <a:lvl6pPr marL="2286000" algn="l" defTabSz="914400" rtl="0" eaLnBrk="1" latinLnBrk="0" hangingPunct="1">
                            <a:defRPr kern="1200">
                              <a:solidFill>
                                <a:schemeClr val="tx1"/>
                              </a:solidFill>
                              <a:latin typeface="Arial" pitchFamily="34" charset="0"/>
                              <a:ea typeface="宋体" pitchFamily="2" charset="-122"/>
                              <a:cs typeface="+mn-cs"/>
                            </a:defRPr>
                          </a:lvl6pPr>
                          <a:lvl7pPr marL="2743200" algn="l" defTabSz="914400" rtl="0" eaLnBrk="1" latinLnBrk="0" hangingPunct="1">
                            <a:defRPr kern="1200">
                              <a:solidFill>
                                <a:schemeClr val="tx1"/>
                              </a:solidFill>
                              <a:latin typeface="Arial" pitchFamily="34" charset="0"/>
                              <a:ea typeface="宋体" pitchFamily="2" charset="-122"/>
                              <a:cs typeface="+mn-cs"/>
                            </a:defRPr>
                          </a:lvl7pPr>
                          <a:lvl8pPr marL="3200400" algn="l" defTabSz="914400" rtl="0" eaLnBrk="1" latinLnBrk="0" hangingPunct="1">
                            <a:defRPr kern="1200">
                              <a:solidFill>
                                <a:schemeClr val="tx1"/>
                              </a:solidFill>
                              <a:latin typeface="Arial" pitchFamily="34" charset="0"/>
                              <a:ea typeface="宋体" pitchFamily="2" charset="-122"/>
                              <a:cs typeface="+mn-cs"/>
                            </a:defRPr>
                          </a:lvl8pPr>
                          <a:lvl9pPr marL="3657600" algn="l" defTabSz="914400" rtl="0" eaLnBrk="1" latinLnBrk="0" hangingPunct="1">
                            <a:defRPr kern="1200">
                              <a:solidFill>
                                <a:schemeClr val="tx1"/>
                              </a:solidFill>
                              <a:latin typeface="Arial" pitchFamily="34" charset="0"/>
                              <a:ea typeface="宋体" pitchFamily="2" charset="-122"/>
                              <a:cs typeface="+mn-cs"/>
                            </a:defRPr>
                          </a:lvl9pPr>
                        </a:lstStyle>
                        <a:p>
                          <a:r>
                            <a:rPr lang="zh-CN" altLang="en-US" sz="2800">
                              <a:latin typeface="Tw Cen MT"/>
                            </a:rPr>
                            <a:t>执行异议之诉</a:t>
                          </a:r>
                        </a:p>
                      </a:txBody>
                      <a:useSpRect/>
                    </a:txSp>
                  </a:sp>
                  <a:cxnSp>
                    <a:nvCxnSpPr>
                      <a:cNvPr id="21" name="直接箭头连接符 20"/>
                      <a:cNvCxnSpPr/>
                    </a:nvCxnSpPr>
                    <a:spPr>
                      <a:xfrm rot="16200000" flipV="1">
                        <a:off x="7811294" y="2235994"/>
                        <a:ext cx="728663" cy="9525"/>
                      </a:xfrm>
                      <a:prstGeom prst="straightConnector1">
                        <a:avLst/>
                      </a:prstGeom>
                      <a:ln w="28575">
                        <a:tailEnd type="arrow"/>
                      </a:ln>
                    </a:spPr>
                    <a:style>
                      <a:lnRef idx="1">
                        <a:schemeClr val="accent1"/>
                      </a:lnRef>
                      <a:fillRef idx="0">
                        <a:schemeClr val="accent1"/>
                      </a:fillRef>
                      <a:effectRef idx="0">
                        <a:schemeClr val="accent1"/>
                      </a:effectRef>
                      <a:fontRef idx="minor">
                        <a:schemeClr val="tx1"/>
                      </a:fontRef>
                    </a:style>
                  </a:cxnSp>
                </lc:lockedCanvas>
              </a:graphicData>
            </a:graphic>
          </wp:anchor>
        </w:drawing>
      </w:r>
    </w:p>
    <w:p w:rsidR="003B57C8" w:rsidRDefault="003B57C8" w:rsidP="006B7F21">
      <w:pPr>
        <w:spacing w:line="560" w:lineRule="exact"/>
        <w:ind w:firstLineChars="200" w:firstLine="640"/>
        <w:rPr>
          <w:rFonts w:ascii="仿宋_GB2312" w:eastAsia="仿宋_GB2312" w:hAnsi="宋体"/>
          <w:sz w:val="32"/>
          <w:szCs w:val="32"/>
        </w:rPr>
      </w:pPr>
    </w:p>
    <w:p w:rsidR="003B57C8" w:rsidRDefault="003B57C8" w:rsidP="006B7F21">
      <w:pPr>
        <w:spacing w:line="560" w:lineRule="exact"/>
        <w:ind w:firstLineChars="200" w:firstLine="640"/>
        <w:rPr>
          <w:rFonts w:ascii="仿宋_GB2312" w:eastAsia="仿宋_GB2312" w:hAnsi="宋体"/>
          <w:sz w:val="32"/>
          <w:szCs w:val="32"/>
        </w:rPr>
      </w:pPr>
    </w:p>
    <w:p w:rsidR="003B57C8" w:rsidRDefault="003B57C8" w:rsidP="006B7F21">
      <w:pPr>
        <w:spacing w:line="560" w:lineRule="exact"/>
        <w:ind w:firstLineChars="200" w:firstLine="640"/>
        <w:rPr>
          <w:rFonts w:ascii="仿宋_GB2312" w:eastAsia="仿宋_GB2312" w:hAnsi="宋体"/>
          <w:sz w:val="32"/>
          <w:szCs w:val="32"/>
        </w:rPr>
      </w:pPr>
    </w:p>
    <w:p w:rsidR="003B57C8" w:rsidRDefault="003B57C8" w:rsidP="006B7F21">
      <w:pPr>
        <w:spacing w:line="560" w:lineRule="exact"/>
        <w:ind w:firstLineChars="200" w:firstLine="640"/>
        <w:jc w:val="center"/>
        <w:rPr>
          <w:rFonts w:ascii="仿宋_GB2312" w:eastAsia="仿宋_GB2312" w:hAnsi="宋体"/>
          <w:sz w:val="32"/>
          <w:szCs w:val="32"/>
        </w:rPr>
      </w:pPr>
    </w:p>
    <w:p w:rsidR="003B57C8" w:rsidRDefault="003B57C8" w:rsidP="006B7F21">
      <w:pPr>
        <w:spacing w:line="560" w:lineRule="exact"/>
        <w:ind w:firstLineChars="200" w:firstLine="640"/>
        <w:jc w:val="center"/>
        <w:rPr>
          <w:rFonts w:ascii="仿宋_GB2312" w:eastAsia="仿宋_GB2312" w:hAnsi="宋体"/>
          <w:sz w:val="32"/>
          <w:szCs w:val="32"/>
        </w:rPr>
      </w:pPr>
    </w:p>
    <w:p w:rsidR="003B57C8" w:rsidRDefault="003B57C8" w:rsidP="006B7F21">
      <w:pPr>
        <w:spacing w:line="560" w:lineRule="exact"/>
        <w:ind w:firstLineChars="200" w:firstLine="640"/>
        <w:jc w:val="center"/>
        <w:rPr>
          <w:rFonts w:ascii="仿宋_GB2312" w:eastAsia="仿宋_GB2312" w:hAnsi="宋体"/>
          <w:sz w:val="32"/>
          <w:szCs w:val="32"/>
        </w:rPr>
      </w:pPr>
    </w:p>
    <w:p w:rsidR="003B57C8" w:rsidRDefault="003B57C8" w:rsidP="006B7F21">
      <w:pPr>
        <w:spacing w:line="560" w:lineRule="exact"/>
        <w:ind w:firstLineChars="200" w:firstLine="640"/>
        <w:jc w:val="center"/>
        <w:rPr>
          <w:rFonts w:ascii="仿宋_GB2312" w:eastAsia="仿宋_GB2312" w:hAnsi="宋体"/>
          <w:sz w:val="32"/>
          <w:szCs w:val="32"/>
        </w:rPr>
      </w:pPr>
      <w:r>
        <w:rPr>
          <w:rFonts w:ascii="仿宋_GB2312" w:eastAsia="仿宋_GB2312" w:hAnsi="宋体" w:hint="eastAsia"/>
          <w:noProof/>
          <w:sz w:val="32"/>
          <w:szCs w:val="32"/>
        </w:rPr>
        <w:lastRenderedPageBreak/>
        <w:drawing>
          <wp:anchor distT="48768" distB="14732" distL="236220" distR="189738" simplePos="0" relativeHeight="251695104" behindDoc="0" locked="0" layoutInCell="1" allowOverlap="1">
            <wp:simplePos x="0" y="0"/>
            <wp:positionH relativeFrom="column">
              <wp:posOffset>311150</wp:posOffset>
            </wp:positionH>
            <wp:positionV relativeFrom="paragraph">
              <wp:posOffset>222250</wp:posOffset>
            </wp:positionV>
            <wp:extent cx="4591050" cy="1962150"/>
            <wp:effectExtent l="0" t="0" r="0" b="0"/>
            <wp:wrapNone/>
            <wp:docPr id="9" name="对象 5"/>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59850" cy="3414713"/>
                      <a:chOff x="1617663" y="2406650"/>
                      <a:chExt cx="8959850" cy="3414713"/>
                    </a:xfrm>
                  </a:grpSpPr>
                  <a:sp>
                    <a:nvSpPr>
                      <a:cNvPr id="27651" name="TextBox 2"/>
                      <a:cNvSpPr txBox="1">
                        <a:spLocks noChangeArrowheads="1"/>
                      </a:cNvSpPr>
                    </a:nvSpPr>
                    <a:spPr bwMode="auto">
                      <a:xfrm>
                        <a:off x="3552825" y="5284788"/>
                        <a:ext cx="1979613" cy="522287"/>
                      </a:xfrm>
                      <a:prstGeom prst="rect">
                        <a:avLst/>
                      </a:prstGeom>
                      <a:noFill/>
                      <a:ln w="28575">
                        <a:solidFill>
                          <a:sysClr val="windowText" lastClr="000000"/>
                        </a:solidFill>
                        <a:miter lim="800000"/>
                        <a:headEnd/>
                        <a:tailEnd/>
                      </a:ln>
                    </a:spPr>
                    <a:txSp>
                      <a:txBody>
                        <a:bodyPr wrap="none">
                          <a:spAutoFit/>
                        </a:bodyPr>
                        <a:lstStyle>
                          <a:defPPr>
                            <a:defRPr lang="en-US"/>
                          </a:defPPr>
                          <a:lvl1pPr algn="l" rtl="0" fontAlgn="base">
                            <a:spcBef>
                              <a:spcPct val="0"/>
                            </a:spcBef>
                            <a:spcAft>
                              <a:spcPct val="0"/>
                            </a:spcAft>
                            <a:defRPr kern="1200">
                              <a:solidFill>
                                <a:sysClr val="windowText" lastClr="000000"/>
                              </a:solidFill>
                              <a:latin typeface="Arial" pitchFamily="34" charset="0"/>
                              <a:ea typeface="宋体" pitchFamily="2" charset="-122"/>
                            </a:defRPr>
                          </a:lvl1pPr>
                          <a:lvl2pPr marL="457200" algn="l" rtl="0" fontAlgn="base">
                            <a:spcBef>
                              <a:spcPct val="0"/>
                            </a:spcBef>
                            <a:spcAft>
                              <a:spcPct val="0"/>
                            </a:spcAft>
                            <a:defRPr kern="1200">
                              <a:solidFill>
                                <a:sysClr val="windowText" lastClr="000000"/>
                              </a:solidFill>
                              <a:latin typeface="Arial" pitchFamily="34" charset="0"/>
                              <a:ea typeface="宋体" pitchFamily="2" charset="-122"/>
                            </a:defRPr>
                          </a:lvl2pPr>
                          <a:lvl3pPr marL="914400" algn="l" rtl="0" fontAlgn="base">
                            <a:spcBef>
                              <a:spcPct val="0"/>
                            </a:spcBef>
                            <a:spcAft>
                              <a:spcPct val="0"/>
                            </a:spcAft>
                            <a:defRPr kern="1200">
                              <a:solidFill>
                                <a:sysClr val="windowText" lastClr="000000"/>
                              </a:solidFill>
                              <a:latin typeface="Arial" pitchFamily="34" charset="0"/>
                              <a:ea typeface="宋体" pitchFamily="2" charset="-122"/>
                            </a:defRPr>
                          </a:lvl3pPr>
                          <a:lvl4pPr marL="1371600" algn="l" rtl="0" fontAlgn="base">
                            <a:spcBef>
                              <a:spcPct val="0"/>
                            </a:spcBef>
                            <a:spcAft>
                              <a:spcPct val="0"/>
                            </a:spcAft>
                            <a:defRPr kern="1200">
                              <a:solidFill>
                                <a:sysClr val="windowText" lastClr="000000"/>
                              </a:solidFill>
                              <a:latin typeface="Arial" pitchFamily="34" charset="0"/>
                              <a:ea typeface="宋体" pitchFamily="2" charset="-122"/>
                            </a:defRPr>
                          </a:lvl4pPr>
                          <a:lvl5pPr marL="1828800" algn="l" rtl="0" fontAlgn="base">
                            <a:spcBef>
                              <a:spcPct val="0"/>
                            </a:spcBef>
                            <a:spcAft>
                              <a:spcPct val="0"/>
                            </a:spcAft>
                            <a:defRPr kern="1200">
                              <a:solidFill>
                                <a:sysClr val="windowText" lastClr="000000"/>
                              </a:solidFill>
                              <a:latin typeface="Arial" pitchFamily="34" charset="0"/>
                              <a:ea typeface="宋体" pitchFamily="2" charset="-122"/>
                            </a:defRPr>
                          </a:lvl5pPr>
                          <a:lvl6pPr marL="2286000" algn="l" defTabSz="914400" rtl="0" eaLnBrk="1" latinLnBrk="0" hangingPunct="1">
                            <a:defRPr kern="1200">
                              <a:solidFill>
                                <a:sysClr val="windowText" lastClr="000000"/>
                              </a:solidFill>
                              <a:latin typeface="Arial" pitchFamily="34" charset="0"/>
                              <a:ea typeface="宋体" pitchFamily="2" charset="-122"/>
                            </a:defRPr>
                          </a:lvl6pPr>
                          <a:lvl7pPr marL="2743200" algn="l" defTabSz="914400" rtl="0" eaLnBrk="1" latinLnBrk="0" hangingPunct="1">
                            <a:defRPr kern="1200">
                              <a:solidFill>
                                <a:sysClr val="windowText" lastClr="000000"/>
                              </a:solidFill>
                              <a:latin typeface="Arial" pitchFamily="34" charset="0"/>
                              <a:ea typeface="宋体" pitchFamily="2" charset="-122"/>
                            </a:defRPr>
                          </a:lvl7pPr>
                          <a:lvl8pPr marL="3200400" algn="l" defTabSz="914400" rtl="0" eaLnBrk="1" latinLnBrk="0" hangingPunct="1">
                            <a:defRPr kern="1200">
                              <a:solidFill>
                                <a:sysClr val="windowText" lastClr="000000"/>
                              </a:solidFill>
                              <a:latin typeface="Arial" pitchFamily="34" charset="0"/>
                              <a:ea typeface="宋体" pitchFamily="2" charset="-122"/>
                            </a:defRPr>
                          </a:lvl8pPr>
                          <a:lvl9pPr marL="3657600" algn="l" defTabSz="914400" rtl="0" eaLnBrk="1" latinLnBrk="0" hangingPunct="1">
                            <a:defRPr kern="1200">
                              <a:solidFill>
                                <a:sysClr val="windowText" lastClr="000000"/>
                              </a:solidFill>
                              <a:latin typeface="Arial" pitchFamily="34" charset="0"/>
                              <a:ea typeface="宋体" pitchFamily="2" charset="-122"/>
                            </a:defRPr>
                          </a:lvl9pPr>
                        </a:lstStyle>
                        <a:p>
                          <a:r>
                            <a:rPr lang="zh-CN" altLang="en-US" sz="2800">
                              <a:latin typeface="Tw Cen MT"/>
                            </a:rPr>
                            <a:t>申请执行人</a:t>
                          </a:r>
                        </a:p>
                      </a:txBody>
                      <a:useSpRect/>
                    </a:txSp>
                  </a:sp>
                  <a:sp>
                    <a:nvSpPr>
                      <a:cNvPr id="27652" name="TextBox 3"/>
                      <a:cNvSpPr txBox="1">
                        <a:spLocks noChangeArrowheads="1"/>
                      </a:cNvSpPr>
                    </a:nvSpPr>
                    <a:spPr bwMode="auto">
                      <a:xfrm>
                        <a:off x="6494463" y="5281613"/>
                        <a:ext cx="1620837" cy="522287"/>
                      </a:xfrm>
                      <a:prstGeom prst="rect">
                        <a:avLst/>
                      </a:prstGeom>
                      <a:noFill/>
                      <a:ln w="28575">
                        <a:solidFill>
                          <a:sysClr val="windowText" lastClr="000000"/>
                        </a:solidFill>
                        <a:miter lim="800000"/>
                        <a:headEnd/>
                        <a:tailEnd/>
                      </a:ln>
                    </a:spPr>
                    <a:txSp>
                      <a:txBody>
                        <a:bodyPr wrap="none">
                          <a:spAutoFit/>
                        </a:bodyPr>
                        <a:lstStyle>
                          <a:defPPr>
                            <a:defRPr lang="en-US"/>
                          </a:defPPr>
                          <a:lvl1pPr algn="l" rtl="0" fontAlgn="base">
                            <a:spcBef>
                              <a:spcPct val="0"/>
                            </a:spcBef>
                            <a:spcAft>
                              <a:spcPct val="0"/>
                            </a:spcAft>
                            <a:defRPr kern="1200">
                              <a:solidFill>
                                <a:sysClr val="windowText" lastClr="000000"/>
                              </a:solidFill>
                              <a:latin typeface="Arial" pitchFamily="34" charset="0"/>
                              <a:ea typeface="宋体" pitchFamily="2" charset="-122"/>
                            </a:defRPr>
                          </a:lvl1pPr>
                          <a:lvl2pPr marL="457200" algn="l" rtl="0" fontAlgn="base">
                            <a:spcBef>
                              <a:spcPct val="0"/>
                            </a:spcBef>
                            <a:spcAft>
                              <a:spcPct val="0"/>
                            </a:spcAft>
                            <a:defRPr kern="1200">
                              <a:solidFill>
                                <a:sysClr val="windowText" lastClr="000000"/>
                              </a:solidFill>
                              <a:latin typeface="Arial" pitchFamily="34" charset="0"/>
                              <a:ea typeface="宋体" pitchFamily="2" charset="-122"/>
                            </a:defRPr>
                          </a:lvl2pPr>
                          <a:lvl3pPr marL="914400" algn="l" rtl="0" fontAlgn="base">
                            <a:spcBef>
                              <a:spcPct val="0"/>
                            </a:spcBef>
                            <a:spcAft>
                              <a:spcPct val="0"/>
                            </a:spcAft>
                            <a:defRPr kern="1200">
                              <a:solidFill>
                                <a:sysClr val="windowText" lastClr="000000"/>
                              </a:solidFill>
                              <a:latin typeface="Arial" pitchFamily="34" charset="0"/>
                              <a:ea typeface="宋体" pitchFamily="2" charset="-122"/>
                            </a:defRPr>
                          </a:lvl3pPr>
                          <a:lvl4pPr marL="1371600" algn="l" rtl="0" fontAlgn="base">
                            <a:spcBef>
                              <a:spcPct val="0"/>
                            </a:spcBef>
                            <a:spcAft>
                              <a:spcPct val="0"/>
                            </a:spcAft>
                            <a:defRPr kern="1200">
                              <a:solidFill>
                                <a:sysClr val="windowText" lastClr="000000"/>
                              </a:solidFill>
                              <a:latin typeface="Arial" pitchFamily="34" charset="0"/>
                              <a:ea typeface="宋体" pitchFamily="2" charset="-122"/>
                            </a:defRPr>
                          </a:lvl4pPr>
                          <a:lvl5pPr marL="1828800" algn="l" rtl="0" fontAlgn="base">
                            <a:spcBef>
                              <a:spcPct val="0"/>
                            </a:spcBef>
                            <a:spcAft>
                              <a:spcPct val="0"/>
                            </a:spcAft>
                            <a:defRPr kern="1200">
                              <a:solidFill>
                                <a:sysClr val="windowText" lastClr="000000"/>
                              </a:solidFill>
                              <a:latin typeface="Arial" pitchFamily="34" charset="0"/>
                              <a:ea typeface="宋体" pitchFamily="2" charset="-122"/>
                            </a:defRPr>
                          </a:lvl5pPr>
                          <a:lvl6pPr marL="2286000" algn="l" defTabSz="914400" rtl="0" eaLnBrk="1" latinLnBrk="0" hangingPunct="1">
                            <a:defRPr kern="1200">
                              <a:solidFill>
                                <a:sysClr val="windowText" lastClr="000000"/>
                              </a:solidFill>
                              <a:latin typeface="Arial" pitchFamily="34" charset="0"/>
                              <a:ea typeface="宋体" pitchFamily="2" charset="-122"/>
                            </a:defRPr>
                          </a:lvl6pPr>
                          <a:lvl7pPr marL="2743200" algn="l" defTabSz="914400" rtl="0" eaLnBrk="1" latinLnBrk="0" hangingPunct="1">
                            <a:defRPr kern="1200">
                              <a:solidFill>
                                <a:sysClr val="windowText" lastClr="000000"/>
                              </a:solidFill>
                              <a:latin typeface="Arial" pitchFamily="34" charset="0"/>
                              <a:ea typeface="宋体" pitchFamily="2" charset="-122"/>
                            </a:defRPr>
                          </a:lvl7pPr>
                          <a:lvl8pPr marL="3200400" algn="l" defTabSz="914400" rtl="0" eaLnBrk="1" latinLnBrk="0" hangingPunct="1">
                            <a:defRPr kern="1200">
                              <a:solidFill>
                                <a:sysClr val="windowText" lastClr="000000"/>
                              </a:solidFill>
                              <a:latin typeface="Arial" pitchFamily="34" charset="0"/>
                              <a:ea typeface="宋体" pitchFamily="2" charset="-122"/>
                            </a:defRPr>
                          </a:lvl8pPr>
                          <a:lvl9pPr marL="3657600" algn="l" defTabSz="914400" rtl="0" eaLnBrk="1" latinLnBrk="0" hangingPunct="1">
                            <a:defRPr kern="1200">
                              <a:solidFill>
                                <a:sysClr val="windowText" lastClr="000000"/>
                              </a:solidFill>
                              <a:latin typeface="Arial" pitchFamily="34" charset="0"/>
                              <a:ea typeface="宋体" pitchFamily="2" charset="-122"/>
                            </a:defRPr>
                          </a:lvl9pPr>
                        </a:lstStyle>
                        <a:p>
                          <a:r>
                            <a:rPr lang="zh-CN" altLang="en-US" sz="2800">
                              <a:latin typeface="Tw Cen MT"/>
                            </a:rPr>
                            <a:t>争议标的</a:t>
                          </a:r>
                        </a:p>
                      </a:txBody>
                      <a:useSpRect/>
                    </a:txSp>
                  </a:sp>
                  <a:sp>
                    <a:nvSpPr>
                      <a:cNvPr id="27653" name="TextBox 4"/>
                      <a:cNvSpPr txBox="1">
                        <a:spLocks noChangeArrowheads="1"/>
                      </a:cNvSpPr>
                    </a:nvSpPr>
                    <a:spPr bwMode="auto">
                      <a:xfrm>
                        <a:off x="8956675" y="5299075"/>
                        <a:ext cx="1620838" cy="522288"/>
                      </a:xfrm>
                      <a:prstGeom prst="rect">
                        <a:avLst/>
                      </a:prstGeom>
                      <a:noFill/>
                      <a:ln w="28575">
                        <a:solidFill>
                          <a:sysClr val="windowText" lastClr="000000"/>
                        </a:solidFill>
                        <a:miter lim="800000"/>
                        <a:headEnd/>
                        <a:tailEnd/>
                      </a:ln>
                    </a:spPr>
                    <a:txSp>
                      <a:txBody>
                        <a:bodyPr wrap="none">
                          <a:spAutoFit/>
                        </a:bodyPr>
                        <a:lstStyle>
                          <a:defPPr>
                            <a:defRPr lang="en-US"/>
                          </a:defPPr>
                          <a:lvl1pPr algn="l" rtl="0" fontAlgn="base">
                            <a:spcBef>
                              <a:spcPct val="0"/>
                            </a:spcBef>
                            <a:spcAft>
                              <a:spcPct val="0"/>
                            </a:spcAft>
                            <a:defRPr kern="1200">
                              <a:solidFill>
                                <a:sysClr val="windowText" lastClr="000000"/>
                              </a:solidFill>
                              <a:latin typeface="Arial" pitchFamily="34" charset="0"/>
                              <a:ea typeface="宋体" pitchFamily="2" charset="-122"/>
                            </a:defRPr>
                          </a:lvl1pPr>
                          <a:lvl2pPr marL="457200" algn="l" rtl="0" fontAlgn="base">
                            <a:spcBef>
                              <a:spcPct val="0"/>
                            </a:spcBef>
                            <a:spcAft>
                              <a:spcPct val="0"/>
                            </a:spcAft>
                            <a:defRPr kern="1200">
                              <a:solidFill>
                                <a:sysClr val="windowText" lastClr="000000"/>
                              </a:solidFill>
                              <a:latin typeface="Arial" pitchFamily="34" charset="0"/>
                              <a:ea typeface="宋体" pitchFamily="2" charset="-122"/>
                            </a:defRPr>
                          </a:lvl2pPr>
                          <a:lvl3pPr marL="914400" algn="l" rtl="0" fontAlgn="base">
                            <a:spcBef>
                              <a:spcPct val="0"/>
                            </a:spcBef>
                            <a:spcAft>
                              <a:spcPct val="0"/>
                            </a:spcAft>
                            <a:defRPr kern="1200">
                              <a:solidFill>
                                <a:sysClr val="windowText" lastClr="000000"/>
                              </a:solidFill>
                              <a:latin typeface="Arial" pitchFamily="34" charset="0"/>
                              <a:ea typeface="宋体" pitchFamily="2" charset="-122"/>
                            </a:defRPr>
                          </a:lvl3pPr>
                          <a:lvl4pPr marL="1371600" algn="l" rtl="0" fontAlgn="base">
                            <a:spcBef>
                              <a:spcPct val="0"/>
                            </a:spcBef>
                            <a:spcAft>
                              <a:spcPct val="0"/>
                            </a:spcAft>
                            <a:defRPr kern="1200">
                              <a:solidFill>
                                <a:sysClr val="windowText" lastClr="000000"/>
                              </a:solidFill>
                              <a:latin typeface="Arial" pitchFamily="34" charset="0"/>
                              <a:ea typeface="宋体" pitchFamily="2" charset="-122"/>
                            </a:defRPr>
                          </a:lvl4pPr>
                          <a:lvl5pPr marL="1828800" algn="l" rtl="0" fontAlgn="base">
                            <a:spcBef>
                              <a:spcPct val="0"/>
                            </a:spcBef>
                            <a:spcAft>
                              <a:spcPct val="0"/>
                            </a:spcAft>
                            <a:defRPr kern="1200">
                              <a:solidFill>
                                <a:sysClr val="windowText" lastClr="000000"/>
                              </a:solidFill>
                              <a:latin typeface="Arial" pitchFamily="34" charset="0"/>
                              <a:ea typeface="宋体" pitchFamily="2" charset="-122"/>
                            </a:defRPr>
                          </a:lvl5pPr>
                          <a:lvl6pPr marL="2286000" algn="l" defTabSz="914400" rtl="0" eaLnBrk="1" latinLnBrk="0" hangingPunct="1">
                            <a:defRPr kern="1200">
                              <a:solidFill>
                                <a:sysClr val="windowText" lastClr="000000"/>
                              </a:solidFill>
                              <a:latin typeface="Arial" pitchFamily="34" charset="0"/>
                              <a:ea typeface="宋体" pitchFamily="2" charset="-122"/>
                            </a:defRPr>
                          </a:lvl6pPr>
                          <a:lvl7pPr marL="2743200" algn="l" defTabSz="914400" rtl="0" eaLnBrk="1" latinLnBrk="0" hangingPunct="1">
                            <a:defRPr kern="1200">
                              <a:solidFill>
                                <a:sysClr val="windowText" lastClr="000000"/>
                              </a:solidFill>
                              <a:latin typeface="Arial" pitchFamily="34" charset="0"/>
                              <a:ea typeface="宋体" pitchFamily="2" charset="-122"/>
                            </a:defRPr>
                          </a:lvl7pPr>
                          <a:lvl8pPr marL="3200400" algn="l" defTabSz="914400" rtl="0" eaLnBrk="1" latinLnBrk="0" hangingPunct="1">
                            <a:defRPr kern="1200">
                              <a:solidFill>
                                <a:sysClr val="windowText" lastClr="000000"/>
                              </a:solidFill>
                              <a:latin typeface="Arial" pitchFamily="34" charset="0"/>
                              <a:ea typeface="宋体" pitchFamily="2" charset="-122"/>
                            </a:defRPr>
                          </a:lvl8pPr>
                          <a:lvl9pPr marL="3657600" algn="l" defTabSz="914400" rtl="0" eaLnBrk="1" latinLnBrk="0" hangingPunct="1">
                            <a:defRPr kern="1200">
                              <a:solidFill>
                                <a:sysClr val="windowText" lastClr="000000"/>
                              </a:solidFill>
                              <a:latin typeface="Arial" pitchFamily="34" charset="0"/>
                              <a:ea typeface="宋体" pitchFamily="2" charset="-122"/>
                            </a:defRPr>
                          </a:lvl9pPr>
                        </a:lstStyle>
                        <a:p>
                          <a:r>
                            <a:rPr lang="zh-CN" altLang="en-US" sz="2800">
                              <a:latin typeface="Tw Cen MT"/>
                            </a:rPr>
                            <a:t>被执行人</a:t>
                          </a:r>
                        </a:p>
                      </a:txBody>
                      <a:useSpRect/>
                    </a:txSp>
                  </a:sp>
                  <a:sp>
                    <a:nvSpPr>
                      <a:cNvPr id="27654" name="TextBox 5"/>
                      <a:cNvSpPr txBox="1">
                        <a:spLocks noChangeArrowheads="1"/>
                      </a:cNvSpPr>
                    </a:nvSpPr>
                    <a:spPr bwMode="auto">
                      <a:xfrm>
                        <a:off x="5476875" y="3667125"/>
                        <a:ext cx="3776663" cy="522288"/>
                      </a:xfrm>
                      <a:prstGeom prst="rect">
                        <a:avLst/>
                      </a:prstGeom>
                      <a:noFill/>
                      <a:ln w="28575">
                        <a:solidFill>
                          <a:sysClr val="windowText" lastClr="000000"/>
                        </a:solidFill>
                        <a:miter lim="800000"/>
                        <a:headEnd/>
                        <a:tailEnd/>
                      </a:ln>
                    </a:spPr>
                    <a:txSp>
                      <a:txBody>
                        <a:bodyPr wrap="none">
                          <a:spAutoFit/>
                        </a:bodyPr>
                        <a:lstStyle>
                          <a:defPPr>
                            <a:defRPr lang="en-US"/>
                          </a:defPPr>
                          <a:lvl1pPr algn="l" rtl="0" fontAlgn="base">
                            <a:spcBef>
                              <a:spcPct val="0"/>
                            </a:spcBef>
                            <a:spcAft>
                              <a:spcPct val="0"/>
                            </a:spcAft>
                            <a:defRPr kern="1200">
                              <a:solidFill>
                                <a:sysClr val="windowText" lastClr="000000"/>
                              </a:solidFill>
                              <a:latin typeface="Arial" pitchFamily="34" charset="0"/>
                              <a:ea typeface="宋体" pitchFamily="2" charset="-122"/>
                            </a:defRPr>
                          </a:lvl1pPr>
                          <a:lvl2pPr marL="457200" algn="l" rtl="0" fontAlgn="base">
                            <a:spcBef>
                              <a:spcPct val="0"/>
                            </a:spcBef>
                            <a:spcAft>
                              <a:spcPct val="0"/>
                            </a:spcAft>
                            <a:defRPr kern="1200">
                              <a:solidFill>
                                <a:sysClr val="windowText" lastClr="000000"/>
                              </a:solidFill>
                              <a:latin typeface="Arial" pitchFamily="34" charset="0"/>
                              <a:ea typeface="宋体" pitchFamily="2" charset="-122"/>
                            </a:defRPr>
                          </a:lvl2pPr>
                          <a:lvl3pPr marL="914400" algn="l" rtl="0" fontAlgn="base">
                            <a:spcBef>
                              <a:spcPct val="0"/>
                            </a:spcBef>
                            <a:spcAft>
                              <a:spcPct val="0"/>
                            </a:spcAft>
                            <a:defRPr kern="1200">
                              <a:solidFill>
                                <a:sysClr val="windowText" lastClr="000000"/>
                              </a:solidFill>
                              <a:latin typeface="Arial" pitchFamily="34" charset="0"/>
                              <a:ea typeface="宋体" pitchFamily="2" charset="-122"/>
                            </a:defRPr>
                          </a:lvl3pPr>
                          <a:lvl4pPr marL="1371600" algn="l" rtl="0" fontAlgn="base">
                            <a:spcBef>
                              <a:spcPct val="0"/>
                            </a:spcBef>
                            <a:spcAft>
                              <a:spcPct val="0"/>
                            </a:spcAft>
                            <a:defRPr kern="1200">
                              <a:solidFill>
                                <a:sysClr val="windowText" lastClr="000000"/>
                              </a:solidFill>
                              <a:latin typeface="Arial" pitchFamily="34" charset="0"/>
                              <a:ea typeface="宋体" pitchFamily="2" charset="-122"/>
                            </a:defRPr>
                          </a:lvl4pPr>
                          <a:lvl5pPr marL="1828800" algn="l" rtl="0" fontAlgn="base">
                            <a:spcBef>
                              <a:spcPct val="0"/>
                            </a:spcBef>
                            <a:spcAft>
                              <a:spcPct val="0"/>
                            </a:spcAft>
                            <a:defRPr kern="1200">
                              <a:solidFill>
                                <a:sysClr val="windowText" lastClr="000000"/>
                              </a:solidFill>
                              <a:latin typeface="Arial" pitchFamily="34" charset="0"/>
                              <a:ea typeface="宋体" pitchFamily="2" charset="-122"/>
                            </a:defRPr>
                          </a:lvl5pPr>
                          <a:lvl6pPr marL="2286000" algn="l" defTabSz="914400" rtl="0" eaLnBrk="1" latinLnBrk="0" hangingPunct="1">
                            <a:defRPr kern="1200">
                              <a:solidFill>
                                <a:sysClr val="windowText" lastClr="000000"/>
                              </a:solidFill>
                              <a:latin typeface="Arial" pitchFamily="34" charset="0"/>
                              <a:ea typeface="宋体" pitchFamily="2" charset="-122"/>
                            </a:defRPr>
                          </a:lvl6pPr>
                          <a:lvl7pPr marL="2743200" algn="l" defTabSz="914400" rtl="0" eaLnBrk="1" latinLnBrk="0" hangingPunct="1">
                            <a:defRPr kern="1200">
                              <a:solidFill>
                                <a:sysClr val="windowText" lastClr="000000"/>
                              </a:solidFill>
                              <a:latin typeface="Arial" pitchFamily="34" charset="0"/>
                              <a:ea typeface="宋体" pitchFamily="2" charset="-122"/>
                            </a:defRPr>
                          </a:lvl7pPr>
                          <a:lvl8pPr marL="3200400" algn="l" defTabSz="914400" rtl="0" eaLnBrk="1" latinLnBrk="0" hangingPunct="1">
                            <a:defRPr kern="1200">
                              <a:solidFill>
                                <a:sysClr val="windowText" lastClr="000000"/>
                              </a:solidFill>
                              <a:latin typeface="Arial" pitchFamily="34" charset="0"/>
                              <a:ea typeface="宋体" pitchFamily="2" charset="-122"/>
                            </a:defRPr>
                          </a:lvl8pPr>
                          <a:lvl9pPr marL="3657600" algn="l" defTabSz="914400" rtl="0" eaLnBrk="1" latinLnBrk="0" hangingPunct="1">
                            <a:defRPr kern="1200">
                              <a:solidFill>
                                <a:sysClr val="windowText" lastClr="000000"/>
                              </a:solidFill>
                              <a:latin typeface="Arial" pitchFamily="34" charset="0"/>
                              <a:ea typeface="宋体" pitchFamily="2" charset="-122"/>
                            </a:defRPr>
                          </a:lvl9pPr>
                        </a:lstStyle>
                        <a:p>
                          <a:r>
                            <a:rPr lang="zh-CN" altLang="en-US" sz="2800">
                              <a:latin typeface="Tw Cen MT"/>
                            </a:rPr>
                            <a:t>被执行人名下其他财产</a:t>
                          </a:r>
                        </a:p>
                      </a:txBody>
                      <a:useSpRect/>
                    </a:txSp>
                  </a:sp>
                  <a:sp>
                    <a:nvSpPr>
                      <a:cNvPr id="27655" name="TextBox 6"/>
                      <a:cNvSpPr txBox="1">
                        <a:spLocks noChangeArrowheads="1"/>
                      </a:cNvSpPr>
                    </a:nvSpPr>
                    <a:spPr bwMode="auto">
                      <a:xfrm>
                        <a:off x="4133850" y="4457700"/>
                        <a:ext cx="3206750" cy="646113"/>
                      </a:xfrm>
                      <a:prstGeom prst="rect">
                        <a:avLst/>
                      </a:prstGeom>
                      <a:noFill/>
                      <a:ln w="19050">
                        <a:solidFill>
                          <a:sysClr val="windowText" lastClr="000000"/>
                        </a:solidFill>
                        <a:miter lim="800000"/>
                        <a:headEnd/>
                        <a:tailEnd/>
                      </a:ln>
                    </a:spPr>
                    <a:txSp>
                      <a:txBody>
                        <a:bodyPr wrap="none">
                          <a:spAutoFit/>
                        </a:bodyPr>
                        <a:lstStyle>
                          <a:defPPr>
                            <a:defRPr lang="en-US"/>
                          </a:defPPr>
                          <a:lvl1pPr algn="l" rtl="0" fontAlgn="base">
                            <a:spcBef>
                              <a:spcPct val="0"/>
                            </a:spcBef>
                            <a:spcAft>
                              <a:spcPct val="0"/>
                            </a:spcAft>
                            <a:defRPr kern="1200">
                              <a:solidFill>
                                <a:sysClr val="windowText" lastClr="000000"/>
                              </a:solidFill>
                              <a:latin typeface="Arial" pitchFamily="34" charset="0"/>
                              <a:ea typeface="宋体" pitchFamily="2" charset="-122"/>
                            </a:defRPr>
                          </a:lvl1pPr>
                          <a:lvl2pPr marL="457200" algn="l" rtl="0" fontAlgn="base">
                            <a:spcBef>
                              <a:spcPct val="0"/>
                            </a:spcBef>
                            <a:spcAft>
                              <a:spcPct val="0"/>
                            </a:spcAft>
                            <a:defRPr kern="1200">
                              <a:solidFill>
                                <a:sysClr val="windowText" lastClr="000000"/>
                              </a:solidFill>
                              <a:latin typeface="Arial" pitchFamily="34" charset="0"/>
                              <a:ea typeface="宋体" pitchFamily="2" charset="-122"/>
                            </a:defRPr>
                          </a:lvl2pPr>
                          <a:lvl3pPr marL="914400" algn="l" rtl="0" fontAlgn="base">
                            <a:spcBef>
                              <a:spcPct val="0"/>
                            </a:spcBef>
                            <a:spcAft>
                              <a:spcPct val="0"/>
                            </a:spcAft>
                            <a:defRPr kern="1200">
                              <a:solidFill>
                                <a:sysClr val="windowText" lastClr="000000"/>
                              </a:solidFill>
                              <a:latin typeface="Arial" pitchFamily="34" charset="0"/>
                              <a:ea typeface="宋体" pitchFamily="2" charset="-122"/>
                            </a:defRPr>
                          </a:lvl3pPr>
                          <a:lvl4pPr marL="1371600" algn="l" rtl="0" fontAlgn="base">
                            <a:spcBef>
                              <a:spcPct val="0"/>
                            </a:spcBef>
                            <a:spcAft>
                              <a:spcPct val="0"/>
                            </a:spcAft>
                            <a:defRPr kern="1200">
                              <a:solidFill>
                                <a:sysClr val="windowText" lastClr="000000"/>
                              </a:solidFill>
                              <a:latin typeface="Arial" pitchFamily="34" charset="0"/>
                              <a:ea typeface="宋体" pitchFamily="2" charset="-122"/>
                            </a:defRPr>
                          </a:lvl4pPr>
                          <a:lvl5pPr marL="1828800" algn="l" rtl="0" fontAlgn="base">
                            <a:spcBef>
                              <a:spcPct val="0"/>
                            </a:spcBef>
                            <a:spcAft>
                              <a:spcPct val="0"/>
                            </a:spcAft>
                            <a:defRPr kern="1200">
                              <a:solidFill>
                                <a:sysClr val="windowText" lastClr="000000"/>
                              </a:solidFill>
                              <a:latin typeface="Arial" pitchFamily="34" charset="0"/>
                              <a:ea typeface="宋体" pitchFamily="2" charset="-122"/>
                            </a:defRPr>
                          </a:lvl5pPr>
                          <a:lvl6pPr marL="2286000" algn="l" defTabSz="914400" rtl="0" eaLnBrk="1" latinLnBrk="0" hangingPunct="1">
                            <a:defRPr kern="1200">
                              <a:solidFill>
                                <a:sysClr val="windowText" lastClr="000000"/>
                              </a:solidFill>
                              <a:latin typeface="Arial" pitchFamily="34" charset="0"/>
                              <a:ea typeface="宋体" pitchFamily="2" charset="-122"/>
                            </a:defRPr>
                          </a:lvl6pPr>
                          <a:lvl7pPr marL="2743200" algn="l" defTabSz="914400" rtl="0" eaLnBrk="1" latinLnBrk="0" hangingPunct="1">
                            <a:defRPr kern="1200">
                              <a:solidFill>
                                <a:sysClr val="windowText" lastClr="000000"/>
                              </a:solidFill>
                              <a:latin typeface="Arial" pitchFamily="34" charset="0"/>
                              <a:ea typeface="宋体" pitchFamily="2" charset="-122"/>
                            </a:defRPr>
                          </a:lvl7pPr>
                          <a:lvl8pPr marL="3200400" algn="l" defTabSz="914400" rtl="0" eaLnBrk="1" latinLnBrk="0" hangingPunct="1">
                            <a:defRPr kern="1200">
                              <a:solidFill>
                                <a:sysClr val="windowText" lastClr="000000"/>
                              </a:solidFill>
                              <a:latin typeface="Arial" pitchFamily="34" charset="0"/>
                              <a:ea typeface="宋体" pitchFamily="2" charset="-122"/>
                            </a:defRPr>
                          </a:lvl8pPr>
                          <a:lvl9pPr marL="3657600" algn="l" defTabSz="914400" rtl="0" eaLnBrk="1" latinLnBrk="0" hangingPunct="1">
                            <a:defRPr kern="1200">
                              <a:solidFill>
                                <a:sysClr val="windowText" lastClr="000000"/>
                              </a:solidFill>
                              <a:latin typeface="Arial" pitchFamily="34" charset="0"/>
                              <a:ea typeface="宋体" pitchFamily="2" charset="-122"/>
                            </a:defRPr>
                          </a:lvl9pPr>
                        </a:lstStyle>
                        <a:p>
                          <a:r>
                            <a:rPr lang="zh-CN" altLang="en-US" b="1">
                              <a:latin typeface="Tw Cen MT"/>
                            </a:rPr>
                            <a:t>查封、扣押、冻结等执行措施</a:t>
                          </a:r>
                          <a:endParaRPr lang="en-US" altLang="zh-CN" b="1">
                            <a:latin typeface="Tw Cen MT"/>
                          </a:endParaRPr>
                        </a:p>
                        <a:p>
                          <a:r>
                            <a:rPr lang="zh-CN" altLang="en-US" b="1">
                              <a:latin typeface="Tw Cen MT"/>
                            </a:rPr>
                            <a:t>拍卖、变卖等执行处置行为</a:t>
                          </a:r>
                        </a:p>
                      </a:txBody>
                      <a:useSpRect/>
                    </a:txSp>
                  </a:sp>
                  <a:cxnSp>
                    <a:nvCxnSpPr>
                      <a:cNvPr id="8" name="直接箭头连接符 7"/>
                      <a:cNvCxnSpPr/>
                    </a:nvCxnSpPr>
                    <a:spPr>
                      <a:xfrm rot="5400000" flipH="1" flipV="1">
                        <a:off x="5406231" y="3325020"/>
                        <a:ext cx="1095375" cy="2824162"/>
                      </a:xfrm>
                      <a:prstGeom prst="straightConnector1">
                        <a:avLst/>
                      </a:prstGeom>
                      <a:noFill/>
                      <a:ln w="28575" cap="flat" cmpd="sng" algn="ctr">
                        <a:solidFill>
                          <a:srgbClr val="4F81BD">
                            <a:shade val="95000"/>
                            <a:satMod val="105000"/>
                          </a:srgbClr>
                        </a:solidFill>
                        <a:prstDash val="solid"/>
                        <a:tailEnd type="arrow"/>
                      </a:ln>
                      <a:effectLst/>
                    </a:spPr>
                    <a:style>
                      <a:lnRef idx="1">
                        <a:schemeClr val="accent1"/>
                      </a:lnRef>
                      <a:fillRef idx="0">
                        <a:schemeClr val="accent1"/>
                      </a:fillRef>
                      <a:effectRef idx="0">
                        <a:schemeClr val="accent1"/>
                      </a:effectRef>
                      <a:fontRef idx="minor">
                        <a:schemeClr val="tx1"/>
                      </a:fontRef>
                    </a:style>
                  </a:cxnSp>
                  <a:cxnSp>
                    <a:nvCxnSpPr>
                      <a:cNvPr id="9" name="直接箭头连接符 8"/>
                      <a:cNvCxnSpPr/>
                    </a:nvCxnSpPr>
                    <a:spPr>
                      <a:xfrm rot="16200000" flipH="1">
                        <a:off x="8011319" y="3544094"/>
                        <a:ext cx="1109662" cy="2400300"/>
                      </a:xfrm>
                      <a:prstGeom prst="straightConnector1">
                        <a:avLst/>
                      </a:prstGeom>
                      <a:noFill/>
                      <a:ln w="28575" cap="flat" cmpd="sng" algn="ctr">
                        <a:solidFill>
                          <a:srgbClr val="4F81BD">
                            <a:shade val="95000"/>
                            <a:satMod val="105000"/>
                          </a:srgbClr>
                        </a:solidFill>
                        <a:prstDash val="solid"/>
                        <a:tailEnd type="arrow"/>
                      </a:ln>
                      <a:effectLst/>
                    </a:spPr>
                    <a:style>
                      <a:lnRef idx="1">
                        <a:schemeClr val="accent1"/>
                      </a:lnRef>
                      <a:fillRef idx="0">
                        <a:schemeClr val="accent1"/>
                      </a:fillRef>
                      <a:effectRef idx="0">
                        <a:schemeClr val="accent1"/>
                      </a:effectRef>
                      <a:fontRef idx="minor">
                        <a:schemeClr val="tx1"/>
                      </a:fontRef>
                    </a:style>
                  </a:cxnSp>
                  <a:cxnSp>
                    <a:nvCxnSpPr>
                      <a:cNvPr id="10" name="直接箭头连接符 9"/>
                      <a:cNvCxnSpPr/>
                    </a:nvCxnSpPr>
                    <a:spPr>
                      <a:xfrm flipV="1">
                        <a:off x="5532438" y="5543550"/>
                        <a:ext cx="962025" cy="1588"/>
                      </a:xfrm>
                      <a:prstGeom prst="straightConnector1">
                        <a:avLst/>
                      </a:prstGeom>
                      <a:noFill/>
                      <a:ln w="28575" cap="flat" cmpd="sng" algn="ctr">
                        <a:solidFill>
                          <a:srgbClr val="4F81BD">
                            <a:shade val="95000"/>
                            <a:satMod val="105000"/>
                          </a:srgbClr>
                        </a:solidFill>
                        <a:prstDash val="solid"/>
                        <a:tailEnd type="arrow"/>
                      </a:ln>
                      <a:effectLst/>
                    </a:spPr>
                    <a:style>
                      <a:lnRef idx="1">
                        <a:schemeClr val="accent1"/>
                      </a:lnRef>
                      <a:fillRef idx="0">
                        <a:schemeClr val="accent1"/>
                      </a:fillRef>
                      <a:effectRef idx="0">
                        <a:schemeClr val="accent1"/>
                      </a:effectRef>
                      <a:fontRef idx="minor">
                        <a:schemeClr val="tx1"/>
                      </a:fontRef>
                    </a:style>
                  </a:cxnSp>
                  <a:cxnSp>
                    <a:nvCxnSpPr>
                      <a:cNvPr id="11" name="直接箭头连接符 10"/>
                      <a:cNvCxnSpPr/>
                    </a:nvCxnSpPr>
                    <a:spPr>
                      <a:xfrm rot="10800000">
                        <a:off x="8115300" y="5543550"/>
                        <a:ext cx="841375" cy="17463"/>
                      </a:xfrm>
                      <a:prstGeom prst="straightConnector1">
                        <a:avLst/>
                      </a:prstGeom>
                      <a:noFill/>
                      <a:ln w="28575" cap="flat" cmpd="sng" algn="ctr">
                        <a:solidFill>
                          <a:srgbClr val="4F81BD">
                            <a:shade val="95000"/>
                            <a:satMod val="105000"/>
                          </a:srgbClr>
                        </a:solidFill>
                        <a:prstDash val="solid"/>
                        <a:tailEnd type="arrow"/>
                      </a:ln>
                      <a:effectLst/>
                    </a:spPr>
                    <a:style>
                      <a:lnRef idx="1">
                        <a:schemeClr val="accent1"/>
                      </a:lnRef>
                      <a:fillRef idx="0">
                        <a:schemeClr val="accent1"/>
                      </a:fillRef>
                      <a:effectRef idx="0">
                        <a:schemeClr val="accent1"/>
                      </a:effectRef>
                      <a:fontRef idx="minor">
                        <a:schemeClr val="tx1"/>
                      </a:fontRef>
                    </a:style>
                  </a:cxnSp>
                  <a:sp>
                    <a:nvSpPr>
                      <a:cNvPr id="27660" name="TextBox 11"/>
                      <a:cNvSpPr txBox="1">
                        <a:spLocks noChangeArrowheads="1"/>
                      </a:cNvSpPr>
                    </a:nvSpPr>
                    <a:spPr bwMode="auto">
                      <a:xfrm>
                        <a:off x="1617663" y="4519613"/>
                        <a:ext cx="1262062" cy="522287"/>
                      </a:xfrm>
                      <a:prstGeom prst="rect">
                        <a:avLst/>
                      </a:prstGeom>
                      <a:noFill/>
                      <a:ln w="28575">
                        <a:solidFill>
                          <a:sysClr val="windowText" lastClr="000000"/>
                        </a:solidFill>
                        <a:miter lim="800000"/>
                        <a:headEnd/>
                        <a:tailEnd/>
                      </a:ln>
                    </a:spPr>
                    <a:txSp>
                      <a:txBody>
                        <a:bodyPr wrap="none">
                          <a:spAutoFit/>
                        </a:bodyPr>
                        <a:lstStyle>
                          <a:defPPr>
                            <a:defRPr lang="en-US"/>
                          </a:defPPr>
                          <a:lvl1pPr algn="l" rtl="0" fontAlgn="base">
                            <a:spcBef>
                              <a:spcPct val="0"/>
                            </a:spcBef>
                            <a:spcAft>
                              <a:spcPct val="0"/>
                            </a:spcAft>
                            <a:defRPr kern="1200">
                              <a:solidFill>
                                <a:sysClr val="windowText" lastClr="000000"/>
                              </a:solidFill>
                              <a:latin typeface="Arial" pitchFamily="34" charset="0"/>
                              <a:ea typeface="宋体" pitchFamily="2" charset="-122"/>
                            </a:defRPr>
                          </a:lvl1pPr>
                          <a:lvl2pPr marL="457200" algn="l" rtl="0" fontAlgn="base">
                            <a:spcBef>
                              <a:spcPct val="0"/>
                            </a:spcBef>
                            <a:spcAft>
                              <a:spcPct val="0"/>
                            </a:spcAft>
                            <a:defRPr kern="1200">
                              <a:solidFill>
                                <a:sysClr val="windowText" lastClr="000000"/>
                              </a:solidFill>
                              <a:latin typeface="Arial" pitchFamily="34" charset="0"/>
                              <a:ea typeface="宋体" pitchFamily="2" charset="-122"/>
                            </a:defRPr>
                          </a:lvl2pPr>
                          <a:lvl3pPr marL="914400" algn="l" rtl="0" fontAlgn="base">
                            <a:spcBef>
                              <a:spcPct val="0"/>
                            </a:spcBef>
                            <a:spcAft>
                              <a:spcPct val="0"/>
                            </a:spcAft>
                            <a:defRPr kern="1200">
                              <a:solidFill>
                                <a:sysClr val="windowText" lastClr="000000"/>
                              </a:solidFill>
                              <a:latin typeface="Arial" pitchFamily="34" charset="0"/>
                              <a:ea typeface="宋体" pitchFamily="2" charset="-122"/>
                            </a:defRPr>
                          </a:lvl3pPr>
                          <a:lvl4pPr marL="1371600" algn="l" rtl="0" fontAlgn="base">
                            <a:spcBef>
                              <a:spcPct val="0"/>
                            </a:spcBef>
                            <a:spcAft>
                              <a:spcPct val="0"/>
                            </a:spcAft>
                            <a:defRPr kern="1200">
                              <a:solidFill>
                                <a:sysClr val="windowText" lastClr="000000"/>
                              </a:solidFill>
                              <a:latin typeface="Arial" pitchFamily="34" charset="0"/>
                              <a:ea typeface="宋体" pitchFamily="2" charset="-122"/>
                            </a:defRPr>
                          </a:lvl4pPr>
                          <a:lvl5pPr marL="1828800" algn="l" rtl="0" fontAlgn="base">
                            <a:spcBef>
                              <a:spcPct val="0"/>
                            </a:spcBef>
                            <a:spcAft>
                              <a:spcPct val="0"/>
                            </a:spcAft>
                            <a:defRPr kern="1200">
                              <a:solidFill>
                                <a:sysClr val="windowText" lastClr="000000"/>
                              </a:solidFill>
                              <a:latin typeface="Arial" pitchFamily="34" charset="0"/>
                              <a:ea typeface="宋体" pitchFamily="2" charset="-122"/>
                            </a:defRPr>
                          </a:lvl5pPr>
                          <a:lvl6pPr marL="2286000" algn="l" defTabSz="914400" rtl="0" eaLnBrk="1" latinLnBrk="0" hangingPunct="1">
                            <a:defRPr kern="1200">
                              <a:solidFill>
                                <a:sysClr val="windowText" lastClr="000000"/>
                              </a:solidFill>
                              <a:latin typeface="Arial" pitchFamily="34" charset="0"/>
                              <a:ea typeface="宋体" pitchFamily="2" charset="-122"/>
                            </a:defRPr>
                          </a:lvl6pPr>
                          <a:lvl7pPr marL="2743200" algn="l" defTabSz="914400" rtl="0" eaLnBrk="1" latinLnBrk="0" hangingPunct="1">
                            <a:defRPr kern="1200">
                              <a:solidFill>
                                <a:sysClr val="windowText" lastClr="000000"/>
                              </a:solidFill>
                              <a:latin typeface="Arial" pitchFamily="34" charset="0"/>
                              <a:ea typeface="宋体" pitchFamily="2" charset="-122"/>
                            </a:defRPr>
                          </a:lvl7pPr>
                          <a:lvl8pPr marL="3200400" algn="l" defTabSz="914400" rtl="0" eaLnBrk="1" latinLnBrk="0" hangingPunct="1">
                            <a:defRPr kern="1200">
                              <a:solidFill>
                                <a:sysClr val="windowText" lastClr="000000"/>
                              </a:solidFill>
                              <a:latin typeface="Arial" pitchFamily="34" charset="0"/>
                              <a:ea typeface="宋体" pitchFamily="2" charset="-122"/>
                            </a:defRPr>
                          </a:lvl8pPr>
                          <a:lvl9pPr marL="3657600" algn="l" defTabSz="914400" rtl="0" eaLnBrk="1" latinLnBrk="0" hangingPunct="1">
                            <a:defRPr kern="1200">
                              <a:solidFill>
                                <a:sysClr val="windowText" lastClr="000000"/>
                              </a:solidFill>
                              <a:latin typeface="Arial" pitchFamily="34" charset="0"/>
                              <a:ea typeface="宋体" pitchFamily="2" charset="-122"/>
                            </a:defRPr>
                          </a:lvl9pPr>
                        </a:lstStyle>
                        <a:p>
                          <a:r>
                            <a:rPr lang="zh-CN" altLang="en-US" sz="2800">
                              <a:latin typeface="Tw Cen MT"/>
                            </a:rPr>
                            <a:t>案外人</a:t>
                          </a:r>
                        </a:p>
                      </a:txBody>
                      <a:useSpRect/>
                    </a:txSp>
                  </a:sp>
                  <a:cxnSp>
                    <a:nvCxnSpPr>
                      <a:cNvPr id="14" name="直接箭头连接符 13"/>
                      <a:cNvCxnSpPr>
                        <a:stCxn id="27660" idx="3"/>
                        <a:endCxn id="27655" idx="1"/>
                      </a:cNvCxnSpPr>
                    </a:nvCxnSpPr>
                    <a:spPr>
                      <a:xfrm>
                        <a:off x="2879725" y="4781550"/>
                        <a:ext cx="1254125" cy="0"/>
                      </a:xfrm>
                      <a:prstGeom prst="straightConnector1">
                        <a:avLst/>
                      </a:prstGeom>
                      <a:noFill/>
                      <a:ln w="38100" cap="flat" cmpd="sng" algn="ctr">
                        <a:solidFill>
                          <a:srgbClr val="4F81BD">
                            <a:shade val="95000"/>
                            <a:satMod val="105000"/>
                          </a:srgbClr>
                        </a:solidFill>
                        <a:prstDash val="solid"/>
                        <a:tailEnd type="arrow"/>
                      </a:ln>
                      <a:effectLst/>
                    </a:spPr>
                    <a:style>
                      <a:lnRef idx="1">
                        <a:schemeClr val="accent1"/>
                      </a:lnRef>
                      <a:fillRef idx="0">
                        <a:schemeClr val="accent1"/>
                      </a:fillRef>
                      <a:effectRef idx="0">
                        <a:schemeClr val="accent1"/>
                      </a:effectRef>
                      <a:fontRef idx="minor">
                        <a:schemeClr val="tx1"/>
                      </a:fontRef>
                    </a:style>
                  </a:cxnSp>
                  <a:sp>
                    <a:nvSpPr>
                      <a:cNvPr id="27662" name="TextBox 15"/>
                      <a:cNvSpPr txBox="1">
                        <a:spLocks noChangeArrowheads="1"/>
                      </a:cNvSpPr>
                    </a:nvSpPr>
                    <a:spPr bwMode="auto">
                      <a:xfrm>
                        <a:off x="2289175" y="3590925"/>
                        <a:ext cx="2338388" cy="522288"/>
                      </a:xfrm>
                      <a:prstGeom prst="rect">
                        <a:avLst/>
                      </a:prstGeom>
                      <a:noFill/>
                      <a:ln w="28575">
                        <a:solidFill>
                          <a:sysClr val="windowText" lastClr="000000"/>
                        </a:solidFill>
                        <a:miter lim="800000"/>
                        <a:headEnd/>
                        <a:tailEnd/>
                      </a:ln>
                    </a:spPr>
                    <a:txSp>
                      <a:txBody>
                        <a:bodyPr wrap="none">
                          <a:spAutoFit/>
                        </a:bodyPr>
                        <a:lstStyle>
                          <a:defPPr>
                            <a:defRPr lang="en-US"/>
                          </a:defPPr>
                          <a:lvl1pPr algn="l" rtl="0" fontAlgn="base">
                            <a:spcBef>
                              <a:spcPct val="0"/>
                            </a:spcBef>
                            <a:spcAft>
                              <a:spcPct val="0"/>
                            </a:spcAft>
                            <a:defRPr kern="1200">
                              <a:solidFill>
                                <a:sysClr val="windowText" lastClr="000000"/>
                              </a:solidFill>
                              <a:latin typeface="Arial" pitchFamily="34" charset="0"/>
                              <a:ea typeface="宋体" pitchFamily="2" charset="-122"/>
                            </a:defRPr>
                          </a:lvl1pPr>
                          <a:lvl2pPr marL="457200" algn="l" rtl="0" fontAlgn="base">
                            <a:spcBef>
                              <a:spcPct val="0"/>
                            </a:spcBef>
                            <a:spcAft>
                              <a:spcPct val="0"/>
                            </a:spcAft>
                            <a:defRPr kern="1200">
                              <a:solidFill>
                                <a:sysClr val="windowText" lastClr="000000"/>
                              </a:solidFill>
                              <a:latin typeface="Arial" pitchFamily="34" charset="0"/>
                              <a:ea typeface="宋体" pitchFamily="2" charset="-122"/>
                            </a:defRPr>
                          </a:lvl2pPr>
                          <a:lvl3pPr marL="914400" algn="l" rtl="0" fontAlgn="base">
                            <a:spcBef>
                              <a:spcPct val="0"/>
                            </a:spcBef>
                            <a:spcAft>
                              <a:spcPct val="0"/>
                            </a:spcAft>
                            <a:defRPr kern="1200">
                              <a:solidFill>
                                <a:sysClr val="windowText" lastClr="000000"/>
                              </a:solidFill>
                              <a:latin typeface="Arial" pitchFamily="34" charset="0"/>
                              <a:ea typeface="宋体" pitchFamily="2" charset="-122"/>
                            </a:defRPr>
                          </a:lvl3pPr>
                          <a:lvl4pPr marL="1371600" algn="l" rtl="0" fontAlgn="base">
                            <a:spcBef>
                              <a:spcPct val="0"/>
                            </a:spcBef>
                            <a:spcAft>
                              <a:spcPct val="0"/>
                            </a:spcAft>
                            <a:defRPr kern="1200">
                              <a:solidFill>
                                <a:sysClr val="windowText" lastClr="000000"/>
                              </a:solidFill>
                              <a:latin typeface="Arial" pitchFamily="34" charset="0"/>
                              <a:ea typeface="宋体" pitchFamily="2" charset="-122"/>
                            </a:defRPr>
                          </a:lvl4pPr>
                          <a:lvl5pPr marL="1828800" algn="l" rtl="0" fontAlgn="base">
                            <a:spcBef>
                              <a:spcPct val="0"/>
                            </a:spcBef>
                            <a:spcAft>
                              <a:spcPct val="0"/>
                            </a:spcAft>
                            <a:defRPr kern="1200">
                              <a:solidFill>
                                <a:sysClr val="windowText" lastClr="000000"/>
                              </a:solidFill>
                              <a:latin typeface="Arial" pitchFamily="34" charset="0"/>
                              <a:ea typeface="宋体" pitchFamily="2" charset="-122"/>
                            </a:defRPr>
                          </a:lvl5pPr>
                          <a:lvl6pPr marL="2286000" algn="l" defTabSz="914400" rtl="0" eaLnBrk="1" latinLnBrk="0" hangingPunct="1">
                            <a:defRPr kern="1200">
                              <a:solidFill>
                                <a:sysClr val="windowText" lastClr="000000"/>
                              </a:solidFill>
                              <a:latin typeface="Arial" pitchFamily="34" charset="0"/>
                              <a:ea typeface="宋体" pitchFamily="2" charset="-122"/>
                            </a:defRPr>
                          </a:lvl6pPr>
                          <a:lvl7pPr marL="2743200" algn="l" defTabSz="914400" rtl="0" eaLnBrk="1" latinLnBrk="0" hangingPunct="1">
                            <a:defRPr kern="1200">
                              <a:solidFill>
                                <a:sysClr val="windowText" lastClr="000000"/>
                              </a:solidFill>
                              <a:latin typeface="Arial" pitchFamily="34" charset="0"/>
                              <a:ea typeface="宋体" pitchFamily="2" charset="-122"/>
                            </a:defRPr>
                          </a:lvl7pPr>
                          <a:lvl8pPr marL="3200400" algn="l" defTabSz="914400" rtl="0" eaLnBrk="1" latinLnBrk="0" hangingPunct="1">
                            <a:defRPr kern="1200">
                              <a:solidFill>
                                <a:sysClr val="windowText" lastClr="000000"/>
                              </a:solidFill>
                              <a:latin typeface="Arial" pitchFamily="34" charset="0"/>
                              <a:ea typeface="宋体" pitchFamily="2" charset="-122"/>
                            </a:defRPr>
                          </a:lvl8pPr>
                          <a:lvl9pPr marL="3657600" algn="l" defTabSz="914400" rtl="0" eaLnBrk="1" latinLnBrk="0" hangingPunct="1">
                            <a:defRPr kern="1200">
                              <a:solidFill>
                                <a:sysClr val="windowText" lastClr="000000"/>
                              </a:solidFill>
                              <a:latin typeface="Arial" pitchFamily="34" charset="0"/>
                              <a:ea typeface="宋体" pitchFamily="2" charset="-122"/>
                            </a:defRPr>
                          </a:lvl9pPr>
                        </a:lstStyle>
                        <a:p>
                          <a:r>
                            <a:rPr lang="zh-CN" altLang="en-US" sz="2800">
                              <a:latin typeface="Tw Cen MT"/>
                            </a:rPr>
                            <a:t>执行行为异议</a:t>
                          </a:r>
                        </a:p>
                      </a:txBody>
                      <a:useSpRect/>
                    </a:txSp>
                  </a:sp>
                  <a:cxnSp>
                    <a:nvCxnSpPr>
                      <a:cNvPr id="18" name="直接箭头连接符 17"/>
                      <a:cNvCxnSpPr/>
                    </a:nvCxnSpPr>
                    <a:spPr>
                      <a:xfrm rot="16200000" flipV="1">
                        <a:off x="3140075" y="4422775"/>
                        <a:ext cx="660400" cy="6350"/>
                      </a:xfrm>
                      <a:prstGeom prst="straightConnector1">
                        <a:avLst/>
                      </a:prstGeom>
                      <a:noFill/>
                      <a:ln w="28575" cap="flat" cmpd="sng" algn="ctr">
                        <a:solidFill>
                          <a:srgbClr val="4F81BD">
                            <a:shade val="95000"/>
                            <a:satMod val="105000"/>
                          </a:srgbClr>
                        </a:solidFill>
                        <a:prstDash val="solid"/>
                        <a:tailEnd type="arrow"/>
                      </a:ln>
                      <a:effectLst/>
                    </a:spPr>
                    <a:style>
                      <a:lnRef idx="1">
                        <a:schemeClr val="accent1"/>
                      </a:lnRef>
                      <a:fillRef idx="0">
                        <a:schemeClr val="accent1"/>
                      </a:fillRef>
                      <a:effectRef idx="0">
                        <a:schemeClr val="accent1"/>
                      </a:effectRef>
                      <a:fontRef idx="minor">
                        <a:schemeClr val="tx1"/>
                      </a:fontRef>
                    </a:style>
                  </a:cxnSp>
                  <a:sp>
                    <a:nvSpPr>
                      <a:cNvPr id="27664" name="TextBox 21"/>
                      <a:cNvSpPr txBox="1">
                        <a:spLocks noChangeArrowheads="1"/>
                      </a:cNvSpPr>
                    </a:nvSpPr>
                    <a:spPr bwMode="auto">
                      <a:xfrm>
                        <a:off x="2238375" y="2406650"/>
                        <a:ext cx="2339975" cy="522288"/>
                      </a:xfrm>
                      <a:prstGeom prst="rect">
                        <a:avLst/>
                      </a:prstGeom>
                      <a:noFill/>
                      <a:ln w="28575">
                        <a:solidFill>
                          <a:sysClr val="windowText" lastClr="000000"/>
                        </a:solidFill>
                        <a:miter lim="800000"/>
                        <a:headEnd/>
                        <a:tailEnd/>
                      </a:ln>
                    </a:spPr>
                    <a:txSp>
                      <a:txBody>
                        <a:bodyPr wrap="none">
                          <a:spAutoFit/>
                        </a:bodyPr>
                        <a:lstStyle>
                          <a:defPPr>
                            <a:defRPr lang="en-US"/>
                          </a:defPPr>
                          <a:lvl1pPr algn="l" rtl="0" fontAlgn="base">
                            <a:spcBef>
                              <a:spcPct val="0"/>
                            </a:spcBef>
                            <a:spcAft>
                              <a:spcPct val="0"/>
                            </a:spcAft>
                            <a:defRPr kern="1200">
                              <a:solidFill>
                                <a:sysClr val="windowText" lastClr="000000"/>
                              </a:solidFill>
                              <a:latin typeface="Arial" pitchFamily="34" charset="0"/>
                              <a:ea typeface="宋体" pitchFamily="2" charset="-122"/>
                            </a:defRPr>
                          </a:lvl1pPr>
                          <a:lvl2pPr marL="457200" algn="l" rtl="0" fontAlgn="base">
                            <a:spcBef>
                              <a:spcPct val="0"/>
                            </a:spcBef>
                            <a:spcAft>
                              <a:spcPct val="0"/>
                            </a:spcAft>
                            <a:defRPr kern="1200">
                              <a:solidFill>
                                <a:sysClr val="windowText" lastClr="000000"/>
                              </a:solidFill>
                              <a:latin typeface="Arial" pitchFamily="34" charset="0"/>
                              <a:ea typeface="宋体" pitchFamily="2" charset="-122"/>
                            </a:defRPr>
                          </a:lvl2pPr>
                          <a:lvl3pPr marL="914400" algn="l" rtl="0" fontAlgn="base">
                            <a:spcBef>
                              <a:spcPct val="0"/>
                            </a:spcBef>
                            <a:spcAft>
                              <a:spcPct val="0"/>
                            </a:spcAft>
                            <a:defRPr kern="1200">
                              <a:solidFill>
                                <a:sysClr val="windowText" lastClr="000000"/>
                              </a:solidFill>
                              <a:latin typeface="Arial" pitchFamily="34" charset="0"/>
                              <a:ea typeface="宋体" pitchFamily="2" charset="-122"/>
                            </a:defRPr>
                          </a:lvl3pPr>
                          <a:lvl4pPr marL="1371600" algn="l" rtl="0" fontAlgn="base">
                            <a:spcBef>
                              <a:spcPct val="0"/>
                            </a:spcBef>
                            <a:spcAft>
                              <a:spcPct val="0"/>
                            </a:spcAft>
                            <a:defRPr kern="1200">
                              <a:solidFill>
                                <a:sysClr val="windowText" lastClr="000000"/>
                              </a:solidFill>
                              <a:latin typeface="Arial" pitchFamily="34" charset="0"/>
                              <a:ea typeface="宋体" pitchFamily="2" charset="-122"/>
                            </a:defRPr>
                          </a:lvl4pPr>
                          <a:lvl5pPr marL="1828800" algn="l" rtl="0" fontAlgn="base">
                            <a:spcBef>
                              <a:spcPct val="0"/>
                            </a:spcBef>
                            <a:spcAft>
                              <a:spcPct val="0"/>
                            </a:spcAft>
                            <a:defRPr kern="1200">
                              <a:solidFill>
                                <a:sysClr val="windowText" lastClr="000000"/>
                              </a:solidFill>
                              <a:latin typeface="Arial" pitchFamily="34" charset="0"/>
                              <a:ea typeface="宋体" pitchFamily="2" charset="-122"/>
                            </a:defRPr>
                          </a:lvl5pPr>
                          <a:lvl6pPr marL="2286000" algn="l" defTabSz="914400" rtl="0" eaLnBrk="1" latinLnBrk="0" hangingPunct="1">
                            <a:defRPr kern="1200">
                              <a:solidFill>
                                <a:sysClr val="windowText" lastClr="000000"/>
                              </a:solidFill>
                              <a:latin typeface="Arial" pitchFamily="34" charset="0"/>
                              <a:ea typeface="宋体" pitchFamily="2" charset="-122"/>
                            </a:defRPr>
                          </a:lvl6pPr>
                          <a:lvl7pPr marL="2743200" algn="l" defTabSz="914400" rtl="0" eaLnBrk="1" latinLnBrk="0" hangingPunct="1">
                            <a:defRPr kern="1200">
                              <a:solidFill>
                                <a:sysClr val="windowText" lastClr="000000"/>
                              </a:solidFill>
                              <a:latin typeface="Arial" pitchFamily="34" charset="0"/>
                              <a:ea typeface="宋体" pitchFamily="2" charset="-122"/>
                            </a:defRPr>
                          </a:lvl7pPr>
                          <a:lvl8pPr marL="3200400" algn="l" defTabSz="914400" rtl="0" eaLnBrk="1" latinLnBrk="0" hangingPunct="1">
                            <a:defRPr kern="1200">
                              <a:solidFill>
                                <a:sysClr val="windowText" lastClr="000000"/>
                              </a:solidFill>
                              <a:latin typeface="Arial" pitchFamily="34" charset="0"/>
                              <a:ea typeface="宋体" pitchFamily="2" charset="-122"/>
                            </a:defRPr>
                          </a:lvl8pPr>
                          <a:lvl9pPr marL="3657600" algn="l" defTabSz="914400" rtl="0" eaLnBrk="1" latinLnBrk="0" hangingPunct="1">
                            <a:defRPr kern="1200">
                              <a:solidFill>
                                <a:sysClr val="windowText" lastClr="000000"/>
                              </a:solidFill>
                              <a:latin typeface="Arial" pitchFamily="34" charset="0"/>
                              <a:ea typeface="宋体" pitchFamily="2" charset="-122"/>
                            </a:defRPr>
                          </a:lvl9pPr>
                        </a:lstStyle>
                        <a:p>
                          <a:r>
                            <a:rPr lang="zh-CN" altLang="en-US" sz="2800">
                              <a:latin typeface="Tw Cen MT"/>
                            </a:rPr>
                            <a:t>执行复议程序</a:t>
                          </a:r>
                        </a:p>
                      </a:txBody>
                      <a:useSpRect/>
                    </a:txSp>
                  </a:sp>
                  <a:cxnSp>
                    <a:nvCxnSpPr>
                      <a:cNvPr id="23" name="直接箭头连接符 22"/>
                      <a:cNvCxnSpPr/>
                    </a:nvCxnSpPr>
                    <a:spPr>
                      <a:xfrm rot="16200000" flipV="1">
                        <a:off x="3098800" y="3282950"/>
                        <a:ext cx="660400" cy="6350"/>
                      </a:xfrm>
                      <a:prstGeom prst="straightConnector1">
                        <a:avLst/>
                      </a:prstGeom>
                      <a:noFill/>
                      <a:ln w="28575" cap="flat" cmpd="sng" algn="ctr">
                        <a:solidFill>
                          <a:srgbClr val="4F81BD">
                            <a:shade val="95000"/>
                            <a:satMod val="105000"/>
                          </a:srgbClr>
                        </a:solidFill>
                        <a:prstDash val="solid"/>
                        <a:tailEnd type="arrow"/>
                      </a:ln>
                      <a:effectLst/>
                    </a:spPr>
                    <a:style>
                      <a:lnRef idx="1">
                        <a:schemeClr val="accent1"/>
                      </a:lnRef>
                      <a:fillRef idx="0">
                        <a:schemeClr val="accent1"/>
                      </a:fillRef>
                      <a:effectRef idx="0">
                        <a:schemeClr val="accent1"/>
                      </a:effectRef>
                      <a:fontRef idx="minor">
                        <a:schemeClr val="tx1"/>
                      </a:fontRef>
                    </a:style>
                  </a:cxnSp>
                </lc:lockedCanvas>
              </a:graphicData>
            </a:graphic>
          </wp:anchor>
        </w:drawing>
      </w:r>
    </w:p>
    <w:p w:rsidR="003B57C8" w:rsidRDefault="003B57C8" w:rsidP="006B7F21">
      <w:pPr>
        <w:spacing w:line="560" w:lineRule="exact"/>
        <w:ind w:firstLineChars="200" w:firstLine="640"/>
        <w:jc w:val="center"/>
        <w:rPr>
          <w:rFonts w:ascii="仿宋_GB2312" w:eastAsia="仿宋_GB2312" w:hAnsi="宋体"/>
          <w:sz w:val="32"/>
          <w:szCs w:val="32"/>
        </w:rPr>
      </w:pPr>
    </w:p>
    <w:p w:rsidR="003B57C8" w:rsidRDefault="003B57C8" w:rsidP="006B7F21">
      <w:pPr>
        <w:spacing w:line="560" w:lineRule="exact"/>
        <w:ind w:firstLineChars="200" w:firstLine="640"/>
        <w:jc w:val="center"/>
        <w:rPr>
          <w:rFonts w:ascii="仿宋_GB2312" w:eastAsia="仿宋_GB2312" w:hAnsi="宋体"/>
          <w:sz w:val="32"/>
          <w:szCs w:val="32"/>
        </w:rPr>
      </w:pPr>
    </w:p>
    <w:p w:rsidR="003B57C8" w:rsidRDefault="003B57C8" w:rsidP="006B7F21">
      <w:pPr>
        <w:spacing w:line="560" w:lineRule="exact"/>
        <w:ind w:firstLineChars="200" w:firstLine="640"/>
        <w:jc w:val="center"/>
        <w:rPr>
          <w:rFonts w:ascii="仿宋_GB2312" w:eastAsia="仿宋_GB2312" w:hAnsi="宋体"/>
          <w:sz w:val="32"/>
          <w:szCs w:val="32"/>
        </w:rPr>
      </w:pPr>
    </w:p>
    <w:p w:rsidR="003B57C8" w:rsidRDefault="003B57C8" w:rsidP="006B7F21">
      <w:pPr>
        <w:spacing w:line="560" w:lineRule="exact"/>
        <w:ind w:firstLineChars="200" w:firstLine="640"/>
        <w:jc w:val="center"/>
        <w:rPr>
          <w:rFonts w:ascii="仿宋_GB2312" w:eastAsia="仿宋_GB2312" w:hAnsi="宋体"/>
          <w:sz w:val="32"/>
          <w:szCs w:val="32"/>
        </w:rPr>
      </w:pPr>
    </w:p>
    <w:p w:rsidR="003B57C8" w:rsidRDefault="003B57C8" w:rsidP="006B7F21">
      <w:pPr>
        <w:spacing w:line="560" w:lineRule="exact"/>
        <w:ind w:firstLineChars="200" w:firstLine="640"/>
        <w:jc w:val="center"/>
        <w:rPr>
          <w:rFonts w:ascii="仿宋_GB2312" w:eastAsia="仿宋_GB2312" w:hAnsi="宋体"/>
          <w:sz w:val="32"/>
          <w:szCs w:val="32"/>
        </w:rPr>
      </w:pPr>
    </w:p>
    <w:p w:rsidR="003B57C8" w:rsidRDefault="003B57C8" w:rsidP="006B7F21">
      <w:pPr>
        <w:spacing w:line="560" w:lineRule="exact"/>
        <w:ind w:firstLineChars="200" w:firstLine="640"/>
        <w:jc w:val="center"/>
        <w:rPr>
          <w:rFonts w:ascii="仿宋_GB2312" w:eastAsia="仿宋_GB2312" w:hAnsi="宋体"/>
          <w:sz w:val="32"/>
          <w:szCs w:val="32"/>
        </w:rPr>
      </w:pPr>
    </w:p>
    <w:p w:rsidR="006B7F21" w:rsidRPr="00065F52" w:rsidRDefault="006B7F21" w:rsidP="006B7F21">
      <w:pPr>
        <w:spacing w:line="560" w:lineRule="exact"/>
        <w:ind w:firstLineChars="200" w:firstLine="640"/>
        <w:jc w:val="center"/>
        <w:rPr>
          <w:rFonts w:ascii="仿宋_GB2312" w:eastAsia="仿宋_GB2312" w:hAnsi="宋体"/>
          <w:sz w:val="32"/>
          <w:szCs w:val="32"/>
        </w:rPr>
      </w:pPr>
      <w:r w:rsidRPr="00065F52">
        <w:rPr>
          <w:rFonts w:ascii="仿宋_GB2312" w:eastAsia="仿宋_GB2312" w:hAnsi="宋体" w:hint="eastAsia"/>
          <w:sz w:val="32"/>
          <w:szCs w:val="32"/>
        </w:rPr>
        <w:t>执行异议之诉及执行复议程序示意图</w:t>
      </w:r>
    </w:p>
    <w:p w:rsidR="006B7F21"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keepNext/>
        <w:keepLines/>
        <w:spacing w:line="416" w:lineRule="auto"/>
        <w:ind w:firstLineChars="200" w:firstLine="640"/>
        <w:outlineLvl w:val="1"/>
        <w:rPr>
          <w:rFonts w:ascii="楷体_GB2312" w:eastAsia="楷体_GB2312" w:hAnsi="Calibri Light"/>
          <w:bCs/>
          <w:sz w:val="32"/>
          <w:szCs w:val="32"/>
        </w:rPr>
      </w:pPr>
      <w:bookmarkStart w:id="8" w:name="_Toc36025643"/>
      <w:bookmarkStart w:id="9" w:name="_Toc36025667"/>
      <w:bookmarkStart w:id="10" w:name="_Toc36025829"/>
      <w:bookmarkStart w:id="11" w:name="_Toc36027075"/>
      <w:bookmarkStart w:id="12" w:name="_Hlk34837101"/>
      <w:r w:rsidRPr="00065F52">
        <w:rPr>
          <w:rFonts w:ascii="楷体_GB2312" w:eastAsia="楷体_GB2312" w:hAnsi="Calibri Light" w:hint="eastAsia"/>
          <w:bCs/>
          <w:sz w:val="32"/>
          <w:szCs w:val="32"/>
        </w:rPr>
        <w:t>（一）执行异议的类型、特点及审查原则</w:t>
      </w:r>
      <w:bookmarkEnd w:id="8"/>
      <w:bookmarkEnd w:id="9"/>
      <w:bookmarkEnd w:id="10"/>
      <w:bookmarkEnd w:id="11"/>
    </w:p>
    <w:p w:rsidR="006B7F21" w:rsidRPr="00065F52" w:rsidRDefault="006B7F21" w:rsidP="006B7F21">
      <w:pPr>
        <w:keepNext/>
        <w:keepLines/>
        <w:spacing w:line="416" w:lineRule="auto"/>
        <w:ind w:firstLineChars="200" w:firstLine="640"/>
        <w:outlineLvl w:val="2"/>
        <w:rPr>
          <w:rFonts w:ascii="仿宋_GB2312" w:eastAsia="仿宋_GB2312"/>
          <w:bCs/>
          <w:sz w:val="32"/>
          <w:szCs w:val="32"/>
        </w:rPr>
      </w:pPr>
      <w:bookmarkStart w:id="13" w:name="_Toc36025644"/>
      <w:bookmarkStart w:id="14" w:name="_Toc36025668"/>
      <w:bookmarkStart w:id="15" w:name="_Toc36025830"/>
      <w:bookmarkStart w:id="16" w:name="_Toc36027076"/>
      <w:bookmarkEnd w:id="12"/>
      <w:r w:rsidRPr="00065F52">
        <w:rPr>
          <w:rFonts w:ascii="仿宋_GB2312" w:eastAsia="仿宋_GB2312" w:hint="eastAsia"/>
          <w:bCs/>
          <w:sz w:val="32"/>
          <w:szCs w:val="32"/>
        </w:rPr>
        <w:t>1.执行异议的类型</w:t>
      </w:r>
      <w:bookmarkEnd w:id="13"/>
      <w:bookmarkEnd w:id="14"/>
      <w:bookmarkEnd w:id="15"/>
      <w:bookmarkEnd w:id="16"/>
    </w:p>
    <w:p w:rsidR="006B7F21" w:rsidRPr="00065F52" w:rsidRDefault="006B7F21" w:rsidP="006B7F21">
      <w:pPr>
        <w:spacing w:line="560" w:lineRule="exact"/>
        <w:ind w:firstLine="420"/>
        <w:jc w:val="left"/>
        <w:rPr>
          <w:rFonts w:ascii="仿宋_GB2312" w:eastAsia="仿宋_GB2312"/>
          <w:sz w:val="32"/>
          <w:szCs w:val="32"/>
        </w:rPr>
      </w:pPr>
      <w:r w:rsidRPr="00065F52">
        <w:rPr>
          <w:rFonts w:ascii="仿宋_GB2312" w:eastAsia="仿宋_GB2312" w:hint="eastAsia"/>
          <w:sz w:val="32"/>
          <w:szCs w:val="32"/>
        </w:rPr>
        <w:t xml:space="preserve"> 执行异议主要是指在案件的执行过程中，当事人、利害关系人认为执行行为违反法律规定而提出的异议，</w:t>
      </w:r>
      <w:proofErr w:type="gramStart"/>
      <w:r w:rsidRPr="00065F52">
        <w:rPr>
          <w:rFonts w:ascii="仿宋_GB2312" w:eastAsia="仿宋_GB2312" w:hint="eastAsia"/>
          <w:sz w:val="32"/>
          <w:szCs w:val="32"/>
        </w:rPr>
        <w:t>或案外人</w:t>
      </w:r>
      <w:proofErr w:type="gramEnd"/>
      <w:r w:rsidRPr="00065F52">
        <w:rPr>
          <w:rFonts w:ascii="仿宋_GB2312" w:eastAsia="仿宋_GB2312" w:hint="eastAsia"/>
          <w:sz w:val="32"/>
          <w:szCs w:val="32"/>
        </w:rPr>
        <w:t>对执行标的提出异议的法律程序，执行异议同时也包括执行当事人的变更、追加，申请不予执行仲裁裁决等程序。</w:t>
      </w:r>
    </w:p>
    <w:p w:rsidR="006B7F21" w:rsidRPr="00065F52" w:rsidRDefault="006B7F21" w:rsidP="006B7F21">
      <w:pPr>
        <w:spacing w:line="560" w:lineRule="exact"/>
        <w:ind w:firstLineChars="200" w:firstLine="640"/>
        <w:rPr>
          <w:rFonts w:ascii="仿宋_GB2312" w:eastAsia="仿宋_GB2312"/>
          <w:sz w:val="32"/>
          <w:szCs w:val="32"/>
        </w:rPr>
      </w:pPr>
      <w:r w:rsidRPr="00065F52">
        <w:rPr>
          <w:rFonts w:ascii="仿宋_GB2312" w:eastAsia="仿宋_GB2312" w:hint="eastAsia"/>
          <w:sz w:val="32"/>
          <w:szCs w:val="32"/>
        </w:rPr>
        <w:t>（1）案外人异议：指在执行程序中，执行案件当事人之外的第三人对执行标的主张实体权利（所有权或其他足以阻止执行标的</w:t>
      </w:r>
      <w:proofErr w:type="gramStart"/>
      <w:r w:rsidRPr="00065F52">
        <w:rPr>
          <w:rFonts w:ascii="仿宋_GB2312" w:eastAsia="仿宋_GB2312" w:hint="eastAsia"/>
          <w:sz w:val="32"/>
          <w:szCs w:val="32"/>
        </w:rPr>
        <w:t>的</w:t>
      </w:r>
      <w:proofErr w:type="gramEnd"/>
      <w:r w:rsidRPr="00065F52">
        <w:rPr>
          <w:rFonts w:ascii="仿宋_GB2312" w:eastAsia="仿宋_GB2312" w:hint="eastAsia"/>
          <w:sz w:val="32"/>
          <w:szCs w:val="32"/>
        </w:rPr>
        <w:t>转让、交付的实体权利），用以排除人民法院执行的异议，其基本法律依据是《民事诉讼法》二百二十七条。</w:t>
      </w:r>
    </w:p>
    <w:p w:rsidR="006B7F21" w:rsidRPr="00065F52" w:rsidRDefault="006B7F21" w:rsidP="006B7F21">
      <w:pPr>
        <w:spacing w:line="560" w:lineRule="exact"/>
        <w:ind w:firstLineChars="200" w:firstLine="640"/>
        <w:rPr>
          <w:rFonts w:ascii="仿宋_GB2312" w:eastAsia="仿宋_GB2312"/>
          <w:sz w:val="32"/>
          <w:szCs w:val="32"/>
        </w:rPr>
      </w:pPr>
      <w:r w:rsidRPr="00065F52">
        <w:rPr>
          <w:rFonts w:ascii="仿宋_GB2312" w:eastAsia="仿宋_GB2312" w:hint="eastAsia"/>
          <w:sz w:val="32"/>
          <w:szCs w:val="32"/>
        </w:rPr>
        <w:t>（2）执行行为异议：指在执行程序中，执行案件的当事人或者其他利害关系人认为人民法院的执行行为违反了相关法律规定而提出的异议，其异议指向为执行行为本身，执行行为异议贯穿整个执行程序，从立案到案件的终结执行，</w:t>
      </w:r>
      <w:r w:rsidRPr="00065F52">
        <w:rPr>
          <w:rFonts w:ascii="仿宋_GB2312" w:eastAsia="仿宋_GB2312" w:hint="eastAsia"/>
          <w:sz w:val="32"/>
          <w:szCs w:val="32"/>
        </w:rPr>
        <w:lastRenderedPageBreak/>
        <w:t>相关当事人均有可能提出异议，其基本法律依据是《民事诉讼法》二百二十五条。</w:t>
      </w:r>
    </w:p>
    <w:p w:rsidR="006B7F21" w:rsidRPr="00065F52" w:rsidRDefault="006B7F21" w:rsidP="006B7F21">
      <w:pPr>
        <w:spacing w:line="560" w:lineRule="exact"/>
        <w:ind w:firstLineChars="200" w:firstLine="640"/>
        <w:rPr>
          <w:rFonts w:ascii="仿宋_GB2312" w:eastAsia="仿宋_GB2312"/>
          <w:sz w:val="32"/>
          <w:szCs w:val="32"/>
        </w:rPr>
      </w:pPr>
      <w:r w:rsidRPr="00065F52">
        <w:rPr>
          <w:rFonts w:ascii="仿宋_GB2312" w:eastAsia="仿宋_GB2312" w:hint="eastAsia"/>
          <w:sz w:val="32"/>
          <w:szCs w:val="32"/>
        </w:rPr>
        <w:t>依据相关权利人申请提起的执行异议：根据现行法律和司法解释的规定，在当事人申请人民法院执行仲裁机构依据仲裁法</w:t>
      </w:r>
      <w:proofErr w:type="gramStart"/>
      <w:r w:rsidRPr="00065F52">
        <w:rPr>
          <w:rFonts w:ascii="仿宋_GB2312" w:eastAsia="仿宋_GB2312" w:hint="eastAsia"/>
          <w:sz w:val="32"/>
          <w:szCs w:val="32"/>
        </w:rPr>
        <w:t>作出</w:t>
      </w:r>
      <w:proofErr w:type="gramEnd"/>
      <w:r w:rsidRPr="00065F52">
        <w:rPr>
          <w:rFonts w:ascii="仿宋_GB2312" w:eastAsia="仿宋_GB2312" w:hint="eastAsia"/>
          <w:sz w:val="32"/>
          <w:szCs w:val="32"/>
        </w:rPr>
        <w:t>的仲裁裁决或者仲裁调解书的案件执行过程中，被执行人或者案外人有权向人民法院就据以执行的仲裁裁决或者仲裁调解书申请不予执行，人民法院应该进行审查并</w:t>
      </w:r>
      <w:proofErr w:type="gramStart"/>
      <w:r w:rsidRPr="00065F52">
        <w:rPr>
          <w:rFonts w:ascii="仿宋_GB2312" w:eastAsia="仿宋_GB2312" w:hint="eastAsia"/>
          <w:sz w:val="32"/>
          <w:szCs w:val="32"/>
        </w:rPr>
        <w:t>作出</w:t>
      </w:r>
      <w:proofErr w:type="gramEnd"/>
      <w:r w:rsidRPr="00065F52">
        <w:rPr>
          <w:rFonts w:ascii="仿宋_GB2312" w:eastAsia="仿宋_GB2312" w:hint="eastAsia"/>
          <w:sz w:val="32"/>
          <w:szCs w:val="32"/>
        </w:rPr>
        <w:t>裁定，其中被执行人、案外人申请不予执行也是执行异议的一种；此类型执行异议案件既包括申请执行人的变更与追加，也包括被执行人的变更与追加。相关法律依据均是单独的司法解释。</w:t>
      </w:r>
    </w:p>
    <w:p w:rsidR="006B7F21" w:rsidRPr="00065F52" w:rsidRDefault="006B7F21" w:rsidP="006B7F21">
      <w:pPr>
        <w:keepNext/>
        <w:keepLines/>
        <w:spacing w:line="416" w:lineRule="auto"/>
        <w:ind w:firstLineChars="200" w:firstLine="640"/>
        <w:outlineLvl w:val="2"/>
        <w:rPr>
          <w:rFonts w:ascii="仿宋_GB2312" w:eastAsia="仿宋_GB2312"/>
          <w:bCs/>
          <w:sz w:val="32"/>
          <w:szCs w:val="32"/>
        </w:rPr>
      </w:pPr>
      <w:bookmarkStart w:id="17" w:name="_Toc36025645"/>
      <w:bookmarkStart w:id="18" w:name="_Toc36025669"/>
      <w:bookmarkStart w:id="19" w:name="_Toc36025831"/>
      <w:bookmarkStart w:id="20" w:name="_Toc36027077"/>
      <w:r w:rsidRPr="00065F52">
        <w:rPr>
          <w:rFonts w:ascii="仿宋_GB2312" w:eastAsia="仿宋_GB2312" w:hint="eastAsia"/>
          <w:bCs/>
          <w:sz w:val="32"/>
          <w:szCs w:val="32"/>
        </w:rPr>
        <w:t>2.执行异议的特点</w:t>
      </w:r>
      <w:bookmarkEnd w:id="17"/>
      <w:bookmarkEnd w:id="18"/>
      <w:bookmarkEnd w:id="19"/>
      <w:bookmarkEnd w:id="20"/>
    </w:p>
    <w:p w:rsidR="006B7F21" w:rsidRPr="00065F52" w:rsidRDefault="006B7F21" w:rsidP="006B7F21">
      <w:pPr>
        <w:spacing w:line="560" w:lineRule="exact"/>
        <w:rPr>
          <w:rFonts w:ascii="仿宋_GB2312" w:eastAsia="仿宋_GB2312"/>
          <w:sz w:val="32"/>
          <w:szCs w:val="32"/>
        </w:rPr>
      </w:pPr>
      <w:r w:rsidRPr="00065F52">
        <w:rPr>
          <w:rFonts w:ascii="仿宋_GB2312" w:eastAsia="仿宋_GB2312" w:hint="eastAsia"/>
          <w:sz w:val="32"/>
          <w:szCs w:val="32"/>
        </w:rPr>
        <w:t xml:space="preserve">    就其本质而言，从案外人执行异议的当事人、审查程序以及审查原则方面来讲，案外人执行异议与执行异议之诉没有本质区别，可以把案外人执行异议看成是简易程序的执行异议之诉。后文中对执行异议之诉的特点进行了详细阐释，这里就案外人执行异议独有的一些特点进行归纳。</w:t>
      </w:r>
    </w:p>
    <w:p w:rsidR="006B7F21" w:rsidRPr="00065F52" w:rsidRDefault="006B7F21" w:rsidP="006B7F21">
      <w:pPr>
        <w:spacing w:line="560" w:lineRule="exact"/>
        <w:ind w:firstLine="420"/>
        <w:rPr>
          <w:rFonts w:ascii="仿宋_GB2312" w:eastAsia="仿宋_GB2312"/>
          <w:sz w:val="32"/>
          <w:szCs w:val="32"/>
        </w:rPr>
      </w:pPr>
      <w:r w:rsidRPr="00065F52">
        <w:rPr>
          <w:rFonts w:ascii="仿宋_GB2312" w:eastAsia="仿宋_GB2312" w:hint="eastAsia"/>
          <w:sz w:val="32"/>
          <w:szCs w:val="32"/>
        </w:rPr>
        <w:t>（1）执行异议必须以生效的执行行为作为前提条件</w:t>
      </w:r>
    </w:p>
    <w:p w:rsidR="006B7F21" w:rsidRPr="00065F52" w:rsidRDefault="006B7F21" w:rsidP="006B7F21">
      <w:pPr>
        <w:spacing w:line="560" w:lineRule="exact"/>
        <w:ind w:firstLine="420"/>
        <w:rPr>
          <w:rFonts w:ascii="仿宋_GB2312" w:eastAsia="仿宋_GB2312"/>
          <w:sz w:val="32"/>
          <w:szCs w:val="32"/>
        </w:rPr>
      </w:pPr>
      <w:r w:rsidRPr="00065F52">
        <w:rPr>
          <w:rFonts w:ascii="仿宋_GB2312" w:eastAsia="仿宋_GB2312" w:hint="eastAsia"/>
          <w:sz w:val="32"/>
          <w:szCs w:val="32"/>
        </w:rPr>
        <w:t xml:space="preserve"> 当事人、案外人、利害关系人根据《中华人民共和国民事诉讼法》第二百二十五条、二百二十七条提出执行异议，均需以存在生效的执行行为为必要条件。也就是说，除了法定的当事人申请引发的执行异议外，相关当事人提起的执行异议，都必须有明确具体的生效执行行为，反映法院“不作为”或者请求法院</w:t>
      </w:r>
      <w:proofErr w:type="gramStart"/>
      <w:r w:rsidRPr="00065F52">
        <w:rPr>
          <w:rFonts w:ascii="仿宋_GB2312" w:eastAsia="仿宋_GB2312" w:hint="eastAsia"/>
          <w:sz w:val="32"/>
          <w:szCs w:val="32"/>
        </w:rPr>
        <w:t>作出</w:t>
      </w:r>
      <w:proofErr w:type="gramEnd"/>
      <w:r w:rsidRPr="00065F52">
        <w:rPr>
          <w:rFonts w:ascii="仿宋_GB2312" w:eastAsia="仿宋_GB2312" w:hint="eastAsia"/>
          <w:sz w:val="32"/>
          <w:szCs w:val="32"/>
        </w:rPr>
        <w:t>某种执行行为，均不属于执行异议案</w:t>
      </w:r>
      <w:r w:rsidRPr="00065F52">
        <w:rPr>
          <w:rFonts w:ascii="仿宋_GB2312" w:eastAsia="仿宋_GB2312" w:hint="eastAsia"/>
          <w:sz w:val="32"/>
          <w:szCs w:val="32"/>
        </w:rPr>
        <w:lastRenderedPageBreak/>
        <w:t>件的受理范围。</w:t>
      </w:r>
      <w:r w:rsidRPr="009826B2">
        <w:rPr>
          <w:rFonts w:ascii="仿宋_GB2312" w:eastAsia="仿宋_GB2312" w:hint="eastAsia"/>
          <w:sz w:val="32"/>
          <w:szCs w:val="32"/>
        </w:rPr>
        <w:t>所以案外人异议受理法院必须是首轮</w:t>
      </w:r>
      <w:r w:rsidRPr="00065F52">
        <w:rPr>
          <w:rFonts w:ascii="仿宋_GB2312" w:eastAsia="仿宋_GB2312" w:hint="eastAsia"/>
          <w:sz w:val="32"/>
          <w:szCs w:val="32"/>
        </w:rPr>
        <w:t>查封法院或者法定享有处置权的人民法院。</w:t>
      </w:r>
    </w:p>
    <w:p w:rsidR="006B7F21" w:rsidRPr="00065F52" w:rsidRDefault="006B7F21" w:rsidP="006B7F21">
      <w:pPr>
        <w:spacing w:line="560" w:lineRule="exact"/>
        <w:ind w:firstLine="420"/>
        <w:rPr>
          <w:rFonts w:ascii="仿宋_GB2312" w:eastAsia="仿宋_GB2312"/>
          <w:sz w:val="32"/>
          <w:szCs w:val="32"/>
        </w:rPr>
      </w:pPr>
      <w:r w:rsidRPr="00065F52">
        <w:rPr>
          <w:rFonts w:ascii="仿宋_GB2312" w:eastAsia="仿宋_GB2312" w:hint="eastAsia"/>
          <w:sz w:val="32"/>
          <w:szCs w:val="32"/>
        </w:rPr>
        <w:t>（2）案外人异议是执行异议之诉的前置程序</w:t>
      </w:r>
    </w:p>
    <w:p w:rsidR="006B7F21" w:rsidRPr="00065F52" w:rsidRDefault="006B7F21" w:rsidP="006B7F21">
      <w:pPr>
        <w:spacing w:line="560" w:lineRule="exact"/>
        <w:ind w:firstLine="420"/>
        <w:rPr>
          <w:rFonts w:ascii="仿宋_GB2312" w:eastAsia="仿宋_GB2312"/>
          <w:sz w:val="32"/>
          <w:szCs w:val="32"/>
        </w:rPr>
      </w:pPr>
      <w:r w:rsidRPr="00065F52">
        <w:rPr>
          <w:rFonts w:ascii="仿宋_GB2312" w:eastAsia="仿宋_GB2312" w:hint="eastAsia"/>
          <w:sz w:val="32"/>
          <w:szCs w:val="32"/>
        </w:rPr>
        <w:t xml:space="preserve"> 执行异议之诉与其他普通民事诉讼相同，都是以当事人向人民法院主动提起而引发，但执行异议之诉以执行程序中的案外人执行异议为前置条件，案外人必须在执行程序中提出异议，经执行法院审查后作出裁定，当事人依据该裁定获得提起执行异议之诉的权利。</w:t>
      </w:r>
    </w:p>
    <w:p w:rsidR="006B7F21" w:rsidRPr="00065F52" w:rsidRDefault="006B7F21" w:rsidP="006B7F21">
      <w:pPr>
        <w:spacing w:line="560" w:lineRule="exact"/>
        <w:ind w:firstLineChars="200" w:firstLine="640"/>
        <w:rPr>
          <w:rFonts w:ascii="仿宋_GB2312" w:eastAsia="仿宋_GB2312"/>
          <w:sz w:val="32"/>
          <w:szCs w:val="32"/>
        </w:rPr>
      </w:pPr>
      <w:r w:rsidRPr="00065F52">
        <w:rPr>
          <w:rFonts w:ascii="仿宋_GB2312" w:eastAsia="仿宋_GB2312" w:hint="eastAsia"/>
          <w:sz w:val="32"/>
          <w:szCs w:val="32"/>
        </w:rPr>
        <w:t>（3）审查期限短</w:t>
      </w:r>
    </w:p>
    <w:p w:rsidR="006B7F21" w:rsidRPr="00065F52" w:rsidRDefault="006B7F21" w:rsidP="006B7F21">
      <w:pPr>
        <w:spacing w:line="560" w:lineRule="exact"/>
        <w:ind w:firstLine="420"/>
        <w:rPr>
          <w:rFonts w:ascii="仿宋_GB2312" w:eastAsia="仿宋_GB2312"/>
          <w:sz w:val="32"/>
          <w:szCs w:val="32"/>
        </w:rPr>
      </w:pPr>
      <w:r w:rsidRPr="00065F52">
        <w:rPr>
          <w:rFonts w:ascii="仿宋_GB2312" w:eastAsia="仿宋_GB2312" w:hint="eastAsia"/>
          <w:sz w:val="32"/>
          <w:szCs w:val="32"/>
        </w:rPr>
        <w:t xml:space="preserve"> 根据现行法律及司法解释的规定，执行异议案件（不包括依当事人申请引发的执行异议案件）审查期限为15日，远远</w:t>
      </w:r>
      <w:r w:rsidR="00C15ED8">
        <w:rPr>
          <w:rFonts w:ascii="仿宋_GB2312" w:eastAsia="仿宋_GB2312" w:hint="eastAsia"/>
          <w:sz w:val="32"/>
          <w:szCs w:val="32"/>
        </w:rPr>
        <w:t>短</w:t>
      </w:r>
      <w:r w:rsidRPr="00065F52">
        <w:rPr>
          <w:rFonts w:ascii="仿宋_GB2312" w:eastAsia="仿宋_GB2312" w:hint="eastAsia"/>
          <w:sz w:val="32"/>
          <w:szCs w:val="32"/>
        </w:rPr>
        <w:t>于普通民事诉讼和执行案件的法定审限。</w:t>
      </w:r>
    </w:p>
    <w:p w:rsidR="006B7F21" w:rsidRPr="00065F52" w:rsidRDefault="006B7F21" w:rsidP="006B7F21">
      <w:pPr>
        <w:spacing w:line="560" w:lineRule="exact"/>
        <w:ind w:firstLineChars="200" w:firstLine="640"/>
        <w:rPr>
          <w:rFonts w:ascii="仿宋_GB2312" w:eastAsia="仿宋_GB2312"/>
          <w:sz w:val="32"/>
          <w:szCs w:val="32"/>
        </w:rPr>
      </w:pPr>
      <w:r w:rsidRPr="00065F52">
        <w:rPr>
          <w:rFonts w:ascii="仿宋_GB2312" w:eastAsia="仿宋_GB2312" w:hint="eastAsia"/>
          <w:sz w:val="32"/>
          <w:szCs w:val="32"/>
        </w:rPr>
        <w:t>（4）案外人异议各方当事人的利益难以兼顾</w:t>
      </w:r>
    </w:p>
    <w:p w:rsidR="006B7F21" w:rsidRPr="00065F52" w:rsidRDefault="006B7F21" w:rsidP="006B7F21">
      <w:pPr>
        <w:spacing w:line="560" w:lineRule="exact"/>
        <w:ind w:firstLine="420"/>
        <w:rPr>
          <w:rFonts w:ascii="仿宋_GB2312" w:eastAsia="仿宋_GB2312"/>
          <w:sz w:val="32"/>
          <w:szCs w:val="32"/>
        </w:rPr>
      </w:pPr>
      <w:r w:rsidRPr="00065F52">
        <w:rPr>
          <w:rFonts w:ascii="仿宋_GB2312" w:eastAsia="仿宋_GB2312" w:hint="eastAsia"/>
          <w:sz w:val="32"/>
          <w:szCs w:val="32"/>
        </w:rPr>
        <w:t xml:space="preserve"> 执行异议制度的立法目的是保护执行案件当事人、利害关系</w:t>
      </w:r>
      <w:proofErr w:type="gramStart"/>
      <w:r w:rsidRPr="00065F52">
        <w:rPr>
          <w:rFonts w:ascii="仿宋_GB2312" w:eastAsia="仿宋_GB2312" w:hint="eastAsia"/>
          <w:sz w:val="32"/>
          <w:szCs w:val="32"/>
        </w:rPr>
        <w:t>人和案</w:t>
      </w:r>
      <w:proofErr w:type="gramEnd"/>
      <w:r w:rsidRPr="00065F52">
        <w:rPr>
          <w:rFonts w:ascii="仿宋_GB2312" w:eastAsia="仿宋_GB2312" w:hint="eastAsia"/>
          <w:sz w:val="32"/>
          <w:szCs w:val="32"/>
        </w:rPr>
        <w:t>外人的合法权益免受侵害，以权利制约权力，给执行权戴上“紧箍咒”，涂上“防腐剂”。</w:t>
      </w:r>
    </w:p>
    <w:p w:rsidR="006B7F21" w:rsidRPr="00065F52" w:rsidRDefault="006B7F21" w:rsidP="006B7F21">
      <w:pPr>
        <w:spacing w:line="560" w:lineRule="exact"/>
        <w:ind w:firstLine="420"/>
        <w:rPr>
          <w:rFonts w:ascii="仿宋_GB2312" w:eastAsia="仿宋_GB2312"/>
          <w:sz w:val="32"/>
          <w:szCs w:val="32"/>
        </w:rPr>
      </w:pPr>
      <w:r w:rsidRPr="00065F52">
        <w:rPr>
          <w:rFonts w:ascii="仿宋_GB2312" w:eastAsia="仿宋_GB2312" w:hint="eastAsia"/>
          <w:sz w:val="32"/>
          <w:szCs w:val="32"/>
        </w:rPr>
        <w:t xml:space="preserve"> 实践中，案外人执行异议不同于普通的执行案件只有申请执行人与被执行人，增加了对执行标的主张实体权利的案外人，由于执行标的</w:t>
      </w:r>
      <w:proofErr w:type="gramStart"/>
      <w:r w:rsidRPr="00065F52">
        <w:rPr>
          <w:rFonts w:ascii="仿宋_GB2312" w:eastAsia="仿宋_GB2312" w:hint="eastAsia"/>
          <w:sz w:val="32"/>
          <w:szCs w:val="32"/>
        </w:rPr>
        <w:t>的</w:t>
      </w:r>
      <w:proofErr w:type="gramEnd"/>
      <w:r w:rsidRPr="00065F52">
        <w:rPr>
          <w:rFonts w:ascii="仿宋_GB2312" w:eastAsia="仿宋_GB2312" w:hint="eastAsia"/>
          <w:sz w:val="32"/>
          <w:szCs w:val="32"/>
        </w:rPr>
        <w:t>唯一性，案外人与申请执行人的主张直接对立，而且二者之间往往没有任何法律关系，不可能同时满足双方的要求，也没有和解的可能；案外人异议案件群体性较多，尤其当被执行人是某个房地产开发企业的时候，往往会引发几十上百起案外人异议案件，此类</w:t>
      </w:r>
      <w:proofErr w:type="gramStart"/>
      <w:r w:rsidRPr="00065F52">
        <w:rPr>
          <w:rFonts w:ascii="仿宋_GB2312" w:eastAsia="仿宋_GB2312" w:hint="eastAsia"/>
          <w:sz w:val="32"/>
          <w:szCs w:val="32"/>
        </w:rPr>
        <w:t>群体性案外人</w:t>
      </w:r>
      <w:proofErr w:type="gramEnd"/>
      <w:r w:rsidRPr="00065F52">
        <w:rPr>
          <w:rFonts w:ascii="仿宋_GB2312" w:eastAsia="仿宋_GB2312" w:hint="eastAsia"/>
          <w:sz w:val="32"/>
          <w:szCs w:val="32"/>
        </w:rPr>
        <w:t>异议案件审查实践中社会隐患大，实务中有些</w:t>
      </w:r>
      <w:proofErr w:type="gramStart"/>
      <w:r w:rsidRPr="00065F52">
        <w:rPr>
          <w:rFonts w:ascii="仿宋_GB2312" w:eastAsia="仿宋_GB2312" w:hint="eastAsia"/>
          <w:sz w:val="32"/>
          <w:szCs w:val="32"/>
        </w:rPr>
        <w:t>群体性案外人</w:t>
      </w:r>
      <w:proofErr w:type="gramEnd"/>
      <w:r w:rsidRPr="00065F52">
        <w:rPr>
          <w:rFonts w:ascii="仿宋_GB2312" w:eastAsia="仿宋_GB2312" w:hint="eastAsia"/>
          <w:sz w:val="32"/>
          <w:szCs w:val="32"/>
        </w:rPr>
        <w:lastRenderedPageBreak/>
        <w:t>收到执行裁定后，拒不提起诉讼，反而一直以信访的方式反映问题。</w:t>
      </w:r>
    </w:p>
    <w:p w:rsidR="006B7F21" w:rsidRPr="00065F52" w:rsidRDefault="006B7F21" w:rsidP="006B7F21">
      <w:pPr>
        <w:spacing w:line="560" w:lineRule="exact"/>
        <w:ind w:firstLine="420"/>
        <w:rPr>
          <w:rFonts w:ascii="仿宋_GB2312" w:eastAsia="仿宋_GB2312"/>
          <w:sz w:val="32"/>
          <w:szCs w:val="32"/>
        </w:rPr>
      </w:pPr>
      <w:r w:rsidRPr="00065F52">
        <w:rPr>
          <w:rFonts w:ascii="仿宋_GB2312" w:eastAsia="仿宋_GB2312" w:hint="eastAsia"/>
          <w:sz w:val="32"/>
          <w:szCs w:val="32"/>
        </w:rPr>
        <w:t xml:space="preserve"> 执行异议程序是执行程序的一个组成部分，当事人提起执行异议没有任何代价，实践中确实存在异议权利被“滥用”的情形。</w:t>
      </w:r>
    </w:p>
    <w:p w:rsidR="006B7F21" w:rsidRPr="00065F52" w:rsidRDefault="006B7F21" w:rsidP="006B7F21">
      <w:pPr>
        <w:keepNext/>
        <w:keepLines/>
        <w:spacing w:line="416" w:lineRule="auto"/>
        <w:ind w:firstLineChars="200" w:firstLine="640"/>
        <w:outlineLvl w:val="2"/>
        <w:rPr>
          <w:rFonts w:ascii="仿宋_GB2312" w:eastAsia="仿宋_GB2312"/>
          <w:bCs/>
          <w:sz w:val="32"/>
          <w:szCs w:val="32"/>
        </w:rPr>
      </w:pPr>
      <w:bookmarkStart w:id="21" w:name="_Toc36025646"/>
      <w:bookmarkStart w:id="22" w:name="_Toc36025670"/>
      <w:bookmarkStart w:id="23" w:name="_Toc36025832"/>
      <w:bookmarkStart w:id="24" w:name="_Toc36027078"/>
      <w:r w:rsidRPr="00065F52">
        <w:rPr>
          <w:rFonts w:ascii="仿宋_GB2312" w:eastAsia="仿宋_GB2312" w:hint="eastAsia"/>
          <w:bCs/>
          <w:sz w:val="32"/>
          <w:szCs w:val="32"/>
        </w:rPr>
        <w:t>3.执行异议的审查原则</w:t>
      </w:r>
      <w:bookmarkEnd w:id="21"/>
      <w:bookmarkEnd w:id="22"/>
      <w:bookmarkEnd w:id="23"/>
      <w:bookmarkEnd w:id="24"/>
    </w:p>
    <w:p w:rsidR="006B7F21" w:rsidRPr="00065F52" w:rsidRDefault="006B7F21" w:rsidP="006B7F21">
      <w:pPr>
        <w:spacing w:line="560" w:lineRule="exact"/>
        <w:ind w:firstLineChars="200" w:firstLine="640"/>
        <w:rPr>
          <w:rFonts w:ascii="仿宋_GB2312" w:eastAsia="仿宋_GB2312"/>
          <w:sz w:val="32"/>
          <w:szCs w:val="32"/>
        </w:rPr>
      </w:pPr>
      <w:r w:rsidRPr="00065F52">
        <w:rPr>
          <w:rFonts w:ascii="仿宋_GB2312" w:eastAsia="仿宋_GB2312" w:hint="eastAsia"/>
          <w:sz w:val="32"/>
          <w:szCs w:val="32"/>
        </w:rPr>
        <w:t>众所周知，和审判程序不同，执行程序的主要目的是迅速实现债权人经过生效法律文书确定的债权，效率是其基本价值取向。执行异议和复议程序的目的是解决执行过程中衍生的程序和实体争议，实际是执行程序的子程序。</w:t>
      </w:r>
    </w:p>
    <w:p w:rsidR="006B7F21" w:rsidRPr="00065F52" w:rsidRDefault="006B7F21" w:rsidP="006B7F21">
      <w:pPr>
        <w:spacing w:line="560" w:lineRule="exact"/>
        <w:ind w:firstLineChars="200" w:firstLine="640"/>
        <w:rPr>
          <w:rFonts w:ascii="仿宋_GB2312" w:eastAsia="仿宋_GB2312"/>
          <w:sz w:val="32"/>
          <w:szCs w:val="32"/>
        </w:rPr>
      </w:pPr>
      <w:r w:rsidRPr="00065F52">
        <w:rPr>
          <w:rFonts w:ascii="仿宋_GB2312" w:eastAsia="仿宋_GB2312" w:hint="eastAsia"/>
          <w:sz w:val="32"/>
          <w:szCs w:val="32"/>
        </w:rPr>
        <w:t>（1）救济有限原则：为了防止异议人滥用异议权阻滞执行，《最高人民法院关于人民法院办理执行异议和复议案件若干问题的规定》第六条对异议人提出异议的期限作了明确规定。第十五条规定禁止重复提起异议等防止程序被恶意利用的制度。</w:t>
      </w:r>
    </w:p>
    <w:p w:rsidR="006B7F21" w:rsidRPr="00065F52" w:rsidRDefault="006B7F21" w:rsidP="006B7F21">
      <w:pPr>
        <w:spacing w:line="560" w:lineRule="exact"/>
        <w:ind w:firstLineChars="200" w:firstLine="640"/>
        <w:rPr>
          <w:rFonts w:ascii="仿宋_GB2312" w:eastAsia="仿宋_GB2312"/>
          <w:sz w:val="32"/>
          <w:szCs w:val="32"/>
        </w:rPr>
      </w:pPr>
      <w:r w:rsidRPr="00065F52">
        <w:rPr>
          <w:rFonts w:ascii="仿宋_GB2312" w:eastAsia="仿宋_GB2312" w:hint="eastAsia"/>
          <w:sz w:val="32"/>
          <w:szCs w:val="32"/>
        </w:rPr>
        <w:t>（2）书面审查原则：为了避免拖延，书面审查是审查执行异议和复议案件的主要方式，只有案情复杂、争议较大的案件才开庭听证。</w:t>
      </w:r>
    </w:p>
    <w:p w:rsidR="006B7F21" w:rsidRPr="00065F52" w:rsidRDefault="006B7F21" w:rsidP="006B7F21">
      <w:pPr>
        <w:spacing w:line="560" w:lineRule="exact"/>
        <w:ind w:firstLineChars="200" w:firstLine="640"/>
        <w:rPr>
          <w:rFonts w:ascii="仿宋_GB2312" w:eastAsia="仿宋_GB2312"/>
          <w:sz w:val="32"/>
          <w:szCs w:val="32"/>
        </w:rPr>
      </w:pPr>
      <w:r w:rsidRPr="00065F52">
        <w:rPr>
          <w:rFonts w:ascii="仿宋_GB2312" w:eastAsia="仿宋_GB2312" w:hint="eastAsia"/>
          <w:sz w:val="32"/>
          <w:szCs w:val="32"/>
        </w:rPr>
        <w:t>（3）形式审查原则：由于只有15日的审查期间，且有异议之诉</w:t>
      </w:r>
      <w:proofErr w:type="gramStart"/>
      <w:r w:rsidRPr="00065F52">
        <w:rPr>
          <w:rFonts w:ascii="仿宋_GB2312" w:eastAsia="仿宋_GB2312" w:hint="eastAsia"/>
          <w:sz w:val="32"/>
          <w:szCs w:val="32"/>
        </w:rPr>
        <w:t>做为</w:t>
      </w:r>
      <w:proofErr w:type="gramEnd"/>
      <w:r w:rsidRPr="00065F52">
        <w:rPr>
          <w:rFonts w:ascii="仿宋_GB2312" w:eastAsia="仿宋_GB2312" w:hint="eastAsia"/>
          <w:sz w:val="32"/>
          <w:szCs w:val="32"/>
        </w:rPr>
        <w:t>最终裁判，案外人异议审查原则上根据执行标的</w:t>
      </w:r>
      <w:proofErr w:type="gramStart"/>
      <w:r w:rsidRPr="00065F52">
        <w:rPr>
          <w:rFonts w:ascii="仿宋_GB2312" w:eastAsia="仿宋_GB2312" w:hint="eastAsia"/>
          <w:sz w:val="32"/>
          <w:szCs w:val="32"/>
        </w:rPr>
        <w:t>的</w:t>
      </w:r>
      <w:proofErr w:type="gramEnd"/>
      <w:r w:rsidRPr="00065F52">
        <w:rPr>
          <w:rFonts w:ascii="仿宋_GB2312" w:eastAsia="仿宋_GB2312" w:hint="eastAsia"/>
          <w:sz w:val="32"/>
          <w:szCs w:val="32"/>
        </w:rPr>
        <w:t>权利外观表彰来判断权属，在有体物作为执行标的之案外人异议案件中，权属判断标准为物权公示原则，在有体物以外的其他权利和利益（如股权、知识产权等）作为执行标的之案外人异议案件中，权属判断标准为权利外观主义。</w:t>
      </w:r>
    </w:p>
    <w:p w:rsidR="006B7F21" w:rsidRPr="00065F52" w:rsidRDefault="006B7F21" w:rsidP="006B7F21">
      <w:pPr>
        <w:keepNext/>
        <w:keepLines/>
        <w:spacing w:line="416" w:lineRule="auto"/>
        <w:ind w:firstLineChars="200" w:firstLine="640"/>
        <w:outlineLvl w:val="1"/>
        <w:rPr>
          <w:rFonts w:ascii="楷体_GB2312" w:eastAsia="楷体_GB2312" w:hAnsi="Calibri Light"/>
          <w:bCs/>
          <w:sz w:val="32"/>
          <w:szCs w:val="32"/>
        </w:rPr>
      </w:pPr>
      <w:bookmarkStart w:id="25" w:name="_Toc36025647"/>
      <w:bookmarkStart w:id="26" w:name="_Toc36025671"/>
      <w:bookmarkStart w:id="27" w:name="_Toc36025833"/>
      <w:bookmarkStart w:id="28" w:name="_Toc36027079"/>
      <w:r w:rsidRPr="00065F52">
        <w:rPr>
          <w:rFonts w:ascii="楷体_GB2312" w:eastAsia="楷体_GB2312" w:hAnsi="Calibri Light" w:hint="eastAsia"/>
          <w:bCs/>
          <w:sz w:val="32"/>
          <w:szCs w:val="32"/>
        </w:rPr>
        <w:lastRenderedPageBreak/>
        <w:t>（二）执行异议之诉的类型、特点及审查原则</w:t>
      </w:r>
      <w:bookmarkEnd w:id="25"/>
      <w:bookmarkEnd w:id="26"/>
      <w:bookmarkEnd w:id="27"/>
      <w:bookmarkEnd w:id="28"/>
    </w:p>
    <w:p w:rsidR="006B7F21" w:rsidRPr="00065F52" w:rsidRDefault="006B7F21" w:rsidP="006B7F21">
      <w:pPr>
        <w:keepNext/>
        <w:keepLines/>
        <w:spacing w:line="416" w:lineRule="auto"/>
        <w:ind w:firstLineChars="250" w:firstLine="800"/>
        <w:outlineLvl w:val="2"/>
        <w:rPr>
          <w:rFonts w:ascii="仿宋_GB2312" w:eastAsia="仿宋_GB2312" w:hAnsi="宋体"/>
          <w:bCs/>
          <w:sz w:val="32"/>
          <w:szCs w:val="32"/>
        </w:rPr>
      </w:pPr>
      <w:bookmarkStart w:id="29" w:name="_Toc36025648"/>
      <w:bookmarkStart w:id="30" w:name="_Toc36025672"/>
      <w:bookmarkStart w:id="31" w:name="_Toc36025834"/>
      <w:bookmarkStart w:id="32" w:name="_Toc36027080"/>
      <w:r w:rsidRPr="00065F52">
        <w:rPr>
          <w:rFonts w:ascii="仿宋_GB2312" w:eastAsia="仿宋_GB2312" w:hAnsi="宋体" w:hint="eastAsia"/>
          <w:bCs/>
          <w:sz w:val="32"/>
          <w:szCs w:val="32"/>
        </w:rPr>
        <w:t>1.执行异议之诉的类型</w:t>
      </w:r>
      <w:bookmarkEnd w:id="29"/>
      <w:bookmarkEnd w:id="30"/>
      <w:bookmarkEnd w:id="31"/>
      <w:bookmarkEnd w:id="32"/>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（1）案外人执行异议之诉与申请执行人执行异议之诉。    形成执行异议之诉，首先</w:t>
      </w:r>
      <w:proofErr w:type="gramStart"/>
      <w:r w:rsidRPr="00065F52">
        <w:rPr>
          <w:rFonts w:ascii="仿宋_GB2312" w:eastAsia="仿宋_GB2312" w:hAnsi="宋体" w:hint="eastAsia"/>
          <w:sz w:val="32"/>
          <w:szCs w:val="32"/>
        </w:rPr>
        <w:t>要由案外人</w:t>
      </w:r>
      <w:proofErr w:type="gramEnd"/>
      <w:r w:rsidRPr="00065F52">
        <w:rPr>
          <w:rFonts w:ascii="仿宋_GB2312" w:eastAsia="仿宋_GB2312" w:hAnsi="宋体" w:hint="eastAsia"/>
          <w:sz w:val="32"/>
          <w:szCs w:val="32"/>
        </w:rPr>
        <w:t>针对被保全财产提出保全异议或执行异议，经过执行部门的执行审查程序，确认为执行行为异议或执行实体异议。对属于执行实体异议的，执行部门在执行审查程序中进行实体审查并</w:t>
      </w:r>
      <w:proofErr w:type="gramStart"/>
      <w:r w:rsidRPr="00065F52">
        <w:rPr>
          <w:rFonts w:ascii="仿宋_GB2312" w:eastAsia="仿宋_GB2312" w:hAnsi="宋体" w:hint="eastAsia"/>
          <w:sz w:val="32"/>
          <w:szCs w:val="32"/>
        </w:rPr>
        <w:t>作出</w:t>
      </w:r>
      <w:proofErr w:type="gramEnd"/>
      <w:r w:rsidRPr="00065F52">
        <w:rPr>
          <w:rFonts w:ascii="仿宋_GB2312" w:eastAsia="仿宋_GB2312" w:hAnsi="宋体" w:hint="eastAsia"/>
          <w:sz w:val="32"/>
          <w:szCs w:val="32"/>
        </w:rPr>
        <w:t>执行裁定书，确认是否</w:t>
      </w:r>
      <w:proofErr w:type="gramStart"/>
      <w:r w:rsidRPr="00065F52">
        <w:rPr>
          <w:rFonts w:ascii="仿宋_GB2312" w:eastAsia="仿宋_GB2312" w:hAnsi="宋体" w:hint="eastAsia"/>
          <w:sz w:val="32"/>
          <w:szCs w:val="32"/>
        </w:rPr>
        <w:t>支持案</w:t>
      </w:r>
      <w:proofErr w:type="gramEnd"/>
      <w:r w:rsidRPr="00065F52">
        <w:rPr>
          <w:rFonts w:ascii="仿宋_GB2312" w:eastAsia="仿宋_GB2312" w:hAnsi="宋体" w:hint="eastAsia"/>
          <w:sz w:val="32"/>
          <w:szCs w:val="32"/>
        </w:rPr>
        <w:t>外人的异议。根据执行裁定书的认定，案外人和申请执行人均有权在法定期限内提起执行异议之诉。因此，根据提起诉讼的不同主体，可以</w:t>
      </w:r>
      <w:proofErr w:type="gramStart"/>
      <w:r w:rsidRPr="00065F52">
        <w:rPr>
          <w:rFonts w:ascii="仿宋_GB2312" w:eastAsia="仿宋_GB2312" w:hAnsi="宋体" w:hint="eastAsia"/>
          <w:sz w:val="32"/>
          <w:szCs w:val="32"/>
        </w:rPr>
        <w:t>分为案</w:t>
      </w:r>
      <w:proofErr w:type="gramEnd"/>
      <w:r w:rsidRPr="00065F52">
        <w:rPr>
          <w:rFonts w:ascii="仿宋_GB2312" w:eastAsia="仿宋_GB2312" w:hAnsi="宋体" w:hint="eastAsia"/>
          <w:sz w:val="32"/>
          <w:szCs w:val="32"/>
        </w:rPr>
        <w:t>外人执行异议之诉和申请执行人执行异议之诉。</w:t>
      </w:r>
    </w:p>
    <w:p w:rsidR="006B7F21" w:rsidRPr="00065F52" w:rsidRDefault="006B7F21" w:rsidP="006B7F21">
      <w:pPr>
        <w:spacing w:line="560" w:lineRule="exact"/>
        <w:ind w:firstLineChars="200" w:firstLine="640"/>
        <w:rPr>
          <w:rFonts w:ascii="仿宋_GB2312" w:eastAsia="仿宋_GB2312" w:hAnsi="宋体"/>
          <w:color w:val="242424"/>
          <w:sz w:val="32"/>
          <w:szCs w:val="32"/>
        </w:rPr>
      </w:pPr>
      <w:r w:rsidRPr="00065F52">
        <w:rPr>
          <w:rFonts w:ascii="仿宋_GB2312" w:eastAsia="仿宋_GB2312" w:hAnsi="宋体" w:hint="eastAsia"/>
          <w:sz w:val="32"/>
          <w:szCs w:val="32"/>
        </w:rPr>
        <w:t>对于被执行人是否能提出执行异议之诉，民事诉讼法及司法解释规定，</w:t>
      </w:r>
      <w:r w:rsidRPr="00065F52">
        <w:rPr>
          <w:rFonts w:ascii="仿宋_GB2312" w:eastAsia="仿宋_GB2312" w:hAnsi="宋体" w:hint="eastAsia"/>
          <w:color w:val="242424"/>
          <w:sz w:val="32"/>
          <w:szCs w:val="32"/>
        </w:rPr>
        <w:t>申请执行人对中止执行裁定未提起执行异议之诉，被执行人提起执行异议之诉的，人民法院应告知其另行起诉。因此，传统民诉法体系中的案外人异议，实际未赋予被执行人提起执行异议之诉的诉权。但近年来有新的司法解释对此有所突破，具体诉讼类型将在下文中涉及。</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2）诉讼保全异议之诉。2016年12月1日开始实施的《最高人民法院关于人民法院办理财产保全案件若干问题的规定》明确了一类新型执行异议之诉：诉讼保全异议之诉。这类诉讼是指法院在本诉审理过程中，对诉讼争议标的以外的财产进行保全，案外人对保全裁定实施过程中的执行行为不服，基于实体权利对被保全财产提出异议申请的，法院应当依照执行异议之诉的规定进行审查处理。</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lastRenderedPageBreak/>
        <w:t>诉讼保全异议之诉的设立，是审执分离制度设置下产生的一类诉讼类型。这类诉讼的关键点</w:t>
      </w:r>
      <w:proofErr w:type="gramStart"/>
      <w:r w:rsidRPr="00065F52">
        <w:rPr>
          <w:rFonts w:ascii="仿宋_GB2312" w:eastAsia="仿宋_GB2312" w:hAnsi="宋体" w:hint="eastAsia"/>
          <w:sz w:val="32"/>
          <w:szCs w:val="32"/>
        </w:rPr>
        <w:t>在于案</w:t>
      </w:r>
      <w:proofErr w:type="gramEnd"/>
      <w:r w:rsidRPr="00065F52">
        <w:rPr>
          <w:rFonts w:ascii="仿宋_GB2312" w:eastAsia="仿宋_GB2312" w:hAnsi="宋体" w:hint="eastAsia"/>
          <w:sz w:val="32"/>
          <w:szCs w:val="32"/>
        </w:rPr>
        <w:t>外人所针对标的物系本诉标的之外的保全物。如果本诉标的与保全标的为同一标的物，则不构成保全异议之诉。保全异议之诉的设立，将案外人提出执行异议之诉的时间点从执行阶段前推至诉讼保全或诉前保全阶段</w:t>
      </w:r>
      <w:r w:rsidR="00D0315D">
        <w:rPr>
          <w:rFonts w:ascii="仿宋_GB2312" w:eastAsia="仿宋_GB2312" w:hAnsi="宋体" w:hint="eastAsia"/>
          <w:sz w:val="32"/>
          <w:szCs w:val="32"/>
        </w:rPr>
        <w:t>，使保全标的物在诉讼阶段即能明确权属，避免了执行标的在进入执行程序</w:t>
      </w:r>
      <w:r w:rsidRPr="00065F52">
        <w:rPr>
          <w:rFonts w:ascii="仿宋_GB2312" w:eastAsia="仿宋_GB2312" w:hAnsi="宋体" w:hint="eastAsia"/>
          <w:sz w:val="32"/>
          <w:szCs w:val="32"/>
        </w:rPr>
        <w:t>或在执行分配过程中才提出异议而产生的巨大利益纠葛。本诉债权人也可以在诉讼阶段另寻无纠纷的保全物，以担保本诉债权的最终实现，避免进入执行阶段再因案外人的异议导致债权不能实现，丧失另寻保全物的时机。</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（3）追加被执行人执行异议之诉。2</w:t>
      </w:r>
      <w:r w:rsidRPr="00065F52">
        <w:rPr>
          <w:rFonts w:ascii="仿宋_GB2312" w:eastAsia="仿宋_GB2312" w:hAnsi="宋体" w:cs="黑体" w:hint="eastAsia"/>
          <w:sz w:val="32"/>
          <w:szCs w:val="32"/>
        </w:rPr>
        <w:t>016年12月1日实施的</w:t>
      </w:r>
      <w:r w:rsidRPr="00065F52">
        <w:rPr>
          <w:rFonts w:ascii="仿宋_GB2312" w:eastAsia="仿宋_GB2312" w:hAnsi="宋体" w:hint="eastAsia"/>
          <w:sz w:val="32"/>
          <w:szCs w:val="32"/>
        </w:rPr>
        <w:t>《</w:t>
      </w:r>
      <w:r w:rsidRPr="00065F52">
        <w:rPr>
          <w:rFonts w:ascii="仿宋_GB2312" w:eastAsia="仿宋_GB2312" w:hAnsi="宋体" w:hint="eastAsia"/>
          <w:bCs/>
          <w:sz w:val="32"/>
          <w:szCs w:val="32"/>
        </w:rPr>
        <w:t>最高人民法院关于民事执行中变更、追加当事人若干问题的规定</w:t>
      </w:r>
      <w:r w:rsidRPr="00065F52">
        <w:rPr>
          <w:rFonts w:ascii="仿宋_GB2312" w:eastAsia="仿宋_GB2312" w:hAnsi="宋体" w:hint="eastAsia"/>
          <w:sz w:val="32"/>
          <w:szCs w:val="32"/>
        </w:rPr>
        <w:t>》中规定，在执行程序中变更、追加被执行人要区分情况予以对待，大部分的变更、追加被执行人仍然属于执行行为异议，通过执行复议程序处理。但部分变更、追加被执行人的执行行为则会引发执行异议之诉。</w:t>
      </w:r>
      <w:r w:rsidRPr="00065F52">
        <w:rPr>
          <w:rFonts w:ascii="仿宋_GB2312" w:eastAsia="仿宋_GB2312" w:hAnsi="宋体" w:cs="黑体" w:hint="eastAsia"/>
          <w:sz w:val="32"/>
          <w:szCs w:val="32"/>
        </w:rPr>
        <w:t>根据该规定</w:t>
      </w:r>
      <w:r w:rsidRPr="00065F52">
        <w:rPr>
          <w:rFonts w:ascii="仿宋_GB2312" w:eastAsia="仿宋_GB2312" w:hAnsi="宋体" w:hint="eastAsia"/>
          <w:sz w:val="32"/>
          <w:szCs w:val="32"/>
        </w:rPr>
        <w:t>第三十二条：“被申请人或申请人对执行法院依据本规定第十四条第二款、第十七条至第二十一条规</w:t>
      </w:r>
      <w:proofErr w:type="gramStart"/>
      <w:r w:rsidRPr="00065F52">
        <w:rPr>
          <w:rFonts w:ascii="仿宋_GB2312" w:eastAsia="仿宋_GB2312" w:hAnsi="宋体" w:hint="eastAsia"/>
          <w:sz w:val="32"/>
          <w:szCs w:val="32"/>
        </w:rPr>
        <w:t>定作</w:t>
      </w:r>
      <w:proofErr w:type="gramEnd"/>
      <w:r w:rsidRPr="00065F52">
        <w:rPr>
          <w:rFonts w:ascii="仿宋_GB2312" w:eastAsia="仿宋_GB2312" w:hAnsi="宋体" w:hint="eastAsia"/>
          <w:sz w:val="32"/>
          <w:szCs w:val="32"/>
        </w:rPr>
        <w:t>出的变更、追加裁定或驳回申请裁定不服的，可以自裁定书送达之日起十五日内，向执行法院提起执行异议之诉。” 根据上述法条进行总结，在执行过程中，因追加被执行人而引发的执行异议之诉，主要包括以下几种情形：1、有限合伙企业的财产不能清偿债务，未按期足额缴纳出资的有限合伙人被追加为被执</w:t>
      </w:r>
      <w:r w:rsidRPr="00065F52">
        <w:rPr>
          <w:rFonts w:ascii="仿宋_GB2312" w:eastAsia="仿宋_GB2312" w:hAnsi="宋体" w:hint="eastAsia"/>
          <w:sz w:val="32"/>
          <w:szCs w:val="32"/>
        </w:rPr>
        <w:lastRenderedPageBreak/>
        <w:t>行人的；2、企业法人财产不足以清偿债务，未缴纳或未足额缴纳出资的股东、出资人或依公司法规定对该出资承担连带责任的发起人或抽逃出资的股东、出资人被追加为被执行人的；3、公司财产不足以清偿债务，未依法履行出资义务即转让股权的股东或依公司法规定对该出资承担连带责任的发起人</w:t>
      </w:r>
      <w:r w:rsidR="00D0315D">
        <w:rPr>
          <w:rFonts w:ascii="仿宋_GB2312" w:eastAsia="仿宋_GB2312" w:hAnsi="宋体" w:hint="eastAsia"/>
          <w:sz w:val="32"/>
          <w:szCs w:val="32"/>
        </w:rPr>
        <w:t>被</w:t>
      </w:r>
      <w:r w:rsidRPr="00065F52">
        <w:rPr>
          <w:rFonts w:ascii="仿宋_GB2312" w:eastAsia="仿宋_GB2312" w:hAnsi="宋体" w:hint="eastAsia"/>
          <w:sz w:val="32"/>
          <w:szCs w:val="32"/>
        </w:rPr>
        <w:t>追加为被执行人的；4、一人有限责任公司的财产不足以清偿债务，股东不能证明公司财产独立于自己的财产而被追加为被执行人的；5、公司未经清算即办理注销登记，导致公司无法进行清算，有限责任公司的股东、股份有限公司的董事和控股股东，对公司债务承担连带清偿责任的，被追加为被执行人的。</w:t>
      </w:r>
    </w:p>
    <w:p w:rsidR="006B7F21" w:rsidRPr="00065F52" w:rsidRDefault="006B7F21" w:rsidP="006B7F21">
      <w:pPr>
        <w:spacing w:line="560" w:lineRule="exact"/>
        <w:ind w:firstLineChars="200" w:firstLine="640"/>
        <w:rPr>
          <w:rFonts w:ascii="仿宋_GB2312" w:eastAsia="仿宋_GB2312" w:hAnsi="宋体"/>
          <w:sz w:val="32"/>
          <w:szCs w:val="32"/>
          <w:shd w:val="clear" w:color="auto" w:fill="FFFFFF"/>
        </w:rPr>
      </w:pPr>
      <w:r w:rsidRPr="00065F52">
        <w:rPr>
          <w:rFonts w:ascii="仿宋_GB2312" w:eastAsia="仿宋_GB2312" w:hAnsi="宋体" w:hint="eastAsia"/>
          <w:sz w:val="32"/>
          <w:szCs w:val="32"/>
          <w:shd w:val="clear" w:color="auto" w:fill="FFFFFF"/>
        </w:rPr>
        <w:t>前文已述，传统</w:t>
      </w:r>
      <w:r w:rsidRPr="00065F52">
        <w:rPr>
          <w:rFonts w:ascii="仿宋_GB2312" w:eastAsia="仿宋_GB2312" w:hAnsi="宋体" w:cs="Tahoma" w:hint="eastAsia"/>
          <w:sz w:val="32"/>
          <w:szCs w:val="32"/>
          <w:shd w:val="clear" w:color="auto" w:fill="FFFFFF"/>
        </w:rPr>
        <w:t>民事诉讼法及司法解释体系中，</w:t>
      </w:r>
      <w:r w:rsidRPr="00065F52">
        <w:rPr>
          <w:rFonts w:ascii="仿宋_GB2312" w:eastAsia="仿宋_GB2312" w:hAnsi="宋体" w:hint="eastAsia"/>
          <w:sz w:val="32"/>
          <w:szCs w:val="32"/>
          <w:shd w:val="clear" w:color="auto" w:fill="FFFFFF"/>
        </w:rPr>
        <w:t>没有被执行人执行异议之诉。但</w:t>
      </w:r>
      <w:r w:rsidRPr="00065F52">
        <w:rPr>
          <w:rFonts w:ascii="仿宋_GB2312" w:eastAsia="仿宋_GB2312" w:hAnsi="宋体" w:hint="eastAsia"/>
          <w:sz w:val="32"/>
          <w:szCs w:val="32"/>
        </w:rPr>
        <w:t>《</w:t>
      </w:r>
      <w:r w:rsidRPr="00065F52">
        <w:rPr>
          <w:rFonts w:ascii="仿宋_GB2312" w:eastAsia="仿宋_GB2312" w:hAnsi="宋体" w:hint="eastAsia"/>
          <w:bCs/>
          <w:sz w:val="32"/>
          <w:szCs w:val="32"/>
        </w:rPr>
        <w:t>最高人民法院关于民事执行中变更、追加当事人若干问题的规定</w:t>
      </w:r>
      <w:r w:rsidRPr="00065F52">
        <w:rPr>
          <w:rFonts w:ascii="仿宋_GB2312" w:eastAsia="仿宋_GB2312" w:hAnsi="宋体" w:hint="eastAsia"/>
          <w:sz w:val="32"/>
          <w:szCs w:val="32"/>
        </w:rPr>
        <w:t>》第三十二条中被申请追加或变更的当事人身份属于被执行人，其是基于对追加或变更行为的不认可，提出的其</w:t>
      </w:r>
      <w:proofErr w:type="gramStart"/>
      <w:r w:rsidRPr="00065F52">
        <w:rPr>
          <w:rFonts w:ascii="仿宋_GB2312" w:eastAsia="仿宋_GB2312" w:hAnsi="宋体" w:hint="eastAsia"/>
          <w:sz w:val="32"/>
          <w:szCs w:val="32"/>
        </w:rPr>
        <w:t>并非适格的</w:t>
      </w:r>
      <w:proofErr w:type="gramEnd"/>
      <w:r w:rsidRPr="00065F52">
        <w:rPr>
          <w:rFonts w:ascii="仿宋_GB2312" w:eastAsia="仿宋_GB2312" w:hAnsi="宋体" w:hint="eastAsia"/>
          <w:sz w:val="32"/>
          <w:szCs w:val="32"/>
        </w:rPr>
        <w:t>被执行人而引发的执行异议之诉，</w:t>
      </w:r>
      <w:r w:rsidRPr="00065F52">
        <w:rPr>
          <w:rFonts w:ascii="仿宋_GB2312" w:eastAsia="仿宋_GB2312" w:hAnsi="宋体" w:hint="eastAsia"/>
          <w:sz w:val="32"/>
          <w:szCs w:val="32"/>
          <w:shd w:val="clear" w:color="auto" w:fill="FFFFFF"/>
        </w:rPr>
        <w:t>属于被执行人执行异议之诉。</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4）执行分配方案异议之诉。债权人或者被执行人对执行分配方案，有权提出书面异议，执行法院应当通知未提出异议的债权人、被执行人。未提出异议的债权人、被执行人收到通知后，可以提出反对意见。异议人收到反对意见后，可以在法定期间，针对提出反对意见的债权人、被执行人，向执行法院提起执行分配方案异议之诉。</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虽然，执行分配方案异议之诉在司法实践中案件数量不</w:t>
      </w:r>
      <w:r w:rsidRPr="00065F52">
        <w:rPr>
          <w:rFonts w:ascii="仿宋_GB2312" w:eastAsia="仿宋_GB2312" w:hAnsi="宋体" w:hint="eastAsia"/>
          <w:sz w:val="32"/>
          <w:szCs w:val="32"/>
        </w:rPr>
        <w:lastRenderedPageBreak/>
        <w:t>多，但切实涉及到申请执行人的利益分配问题。因执行分配方案异议</w:t>
      </w:r>
      <w:proofErr w:type="gramStart"/>
      <w:r w:rsidRPr="00065F52">
        <w:rPr>
          <w:rFonts w:ascii="仿宋_GB2312" w:eastAsia="仿宋_GB2312" w:hAnsi="宋体" w:hint="eastAsia"/>
          <w:sz w:val="32"/>
          <w:szCs w:val="32"/>
        </w:rPr>
        <w:t>之诉所审查</w:t>
      </w:r>
      <w:proofErr w:type="gramEnd"/>
      <w:r w:rsidRPr="00065F52">
        <w:rPr>
          <w:rFonts w:ascii="仿宋_GB2312" w:eastAsia="仿宋_GB2312" w:hAnsi="宋体" w:hint="eastAsia"/>
          <w:sz w:val="32"/>
          <w:szCs w:val="32"/>
        </w:rPr>
        <w:t>的主要涉及到执行分配中异议人的异议是否成立的问题，因此，异议人提起的执行异议分配方案</w:t>
      </w:r>
      <w:proofErr w:type="gramStart"/>
      <w:r w:rsidRPr="00065F52">
        <w:rPr>
          <w:rFonts w:ascii="仿宋_GB2312" w:eastAsia="仿宋_GB2312" w:hAnsi="宋体" w:hint="eastAsia"/>
          <w:sz w:val="32"/>
          <w:szCs w:val="32"/>
        </w:rPr>
        <w:t>之诉应明确</w:t>
      </w:r>
      <w:proofErr w:type="gramEnd"/>
      <w:r w:rsidRPr="00065F52">
        <w:rPr>
          <w:rFonts w:ascii="仿宋_GB2312" w:eastAsia="仿宋_GB2312" w:hAnsi="宋体" w:hint="eastAsia"/>
          <w:sz w:val="32"/>
          <w:szCs w:val="32"/>
        </w:rPr>
        <w:t>是对债权分配份额的异议或对债权分配顺位的异议。但如果当事人仅是针对其是否享有参与执行分配资格所提出异议，则不属于执行分配方案异议之诉，而应属于对执行行为所提出的异议，应当通过执行审查程序中的执行异议和复议程序处理。</w:t>
      </w:r>
    </w:p>
    <w:p w:rsidR="006B7F21" w:rsidRPr="00065F52" w:rsidRDefault="006B7F21" w:rsidP="006B7F21">
      <w:pPr>
        <w:keepNext/>
        <w:keepLines/>
        <w:spacing w:line="416" w:lineRule="auto"/>
        <w:ind w:firstLineChars="200" w:firstLine="640"/>
        <w:outlineLvl w:val="2"/>
        <w:rPr>
          <w:rFonts w:ascii="仿宋_GB2312" w:eastAsia="仿宋_GB2312" w:hAnsi="宋体"/>
          <w:bCs/>
          <w:sz w:val="32"/>
          <w:szCs w:val="32"/>
        </w:rPr>
      </w:pPr>
      <w:bookmarkStart w:id="33" w:name="_Toc36025649"/>
      <w:bookmarkStart w:id="34" w:name="_Toc36025673"/>
      <w:bookmarkStart w:id="35" w:name="_Toc36025835"/>
      <w:bookmarkStart w:id="36" w:name="_Toc36027081"/>
      <w:r w:rsidRPr="00065F52">
        <w:rPr>
          <w:rFonts w:ascii="仿宋_GB2312" w:eastAsia="仿宋_GB2312" w:hAnsi="宋体" w:hint="eastAsia"/>
          <w:bCs/>
          <w:sz w:val="32"/>
          <w:szCs w:val="32"/>
        </w:rPr>
        <w:t>2.执行异议之诉案件的主要特点</w:t>
      </w:r>
      <w:bookmarkEnd w:id="33"/>
      <w:bookmarkEnd w:id="34"/>
      <w:bookmarkEnd w:id="35"/>
      <w:bookmarkEnd w:id="36"/>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（1）诉讼请求特殊化。执行异议之诉的目的在于排除对执行标的</w:t>
      </w:r>
      <w:proofErr w:type="gramStart"/>
      <w:r w:rsidRPr="00065F52">
        <w:rPr>
          <w:rFonts w:ascii="仿宋_GB2312" w:eastAsia="仿宋_GB2312" w:hAnsi="宋体" w:hint="eastAsia"/>
          <w:sz w:val="32"/>
          <w:szCs w:val="32"/>
        </w:rPr>
        <w:t>的</w:t>
      </w:r>
      <w:proofErr w:type="gramEnd"/>
      <w:r w:rsidRPr="00065F52">
        <w:rPr>
          <w:rFonts w:ascii="仿宋_GB2312" w:eastAsia="仿宋_GB2312" w:hAnsi="宋体" w:hint="eastAsia"/>
          <w:sz w:val="32"/>
          <w:szCs w:val="32"/>
        </w:rPr>
        <w:t>强制执行措施，因此，执行异议之诉的诉讼请求必须明确包含对执行标的许可执行或排除执行的请求。民事诉讼法规定，案外人在执行异议之诉中提起的确权诉讼请求，人民法院可以一并裁判。案外人提起执行异议的依据为其对执行标的享有实体上的权利，从法条规定“案外人提起确权诉讼，人民法院可以一并裁判”的文意分析，案外人提起确权诉讼是其排除执行措施的手段，因此，执行异议之诉的诉讼请求必须明确包括排除或继续执行措施的请求，而确权或给付、形成等普通民事诉讼请求，在执行异议之诉中主要是排除执行措施的手段和方式，并非执行异议之诉中必须的诉讼请求。相较普通民事诉讼而言，执行异议之诉的诉讼请求明显具有特殊性。</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（2）诉讼主体的特殊性。执行异议之诉的诉讼主体有别于普通民事诉讼。普通民事诉讼中，发动诉讼一方的诉讼</w:t>
      </w:r>
      <w:r w:rsidRPr="00065F52">
        <w:rPr>
          <w:rFonts w:ascii="仿宋_GB2312" w:eastAsia="仿宋_GB2312" w:hAnsi="宋体" w:hint="eastAsia"/>
          <w:sz w:val="32"/>
          <w:szCs w:val="32"/>
        </w:rPr>
        <w:lastRenderedPageBreak/>
        <w:t>地位列为原告。执行异议之诉的诉讼主体包括三方当事人，分别是申请执行人、被执行人、案外人。发动执行异议之诉的主体是案外人，但由于执行异议之</w:t>
      </w:r>
      <w:proofErr w:type="gramStart"/>
      <w:r w:rsidRPr="00065F52">
        <w:rPr>
          <w:rFonts w:ascii="仿宋_GB2312" w:eastAsia="仿宋_GB2312" w:hAnsi="宋体" w:hint="eastAsia"/>
          <w:sz w:val="32"/>
          <w:szCs w:val="32"/>
        </w:rPr>
        <w:t>诉存在</w:t>
      </w:r>
      <w:proofErr w:type="gramEnd"/>
      <w:r w:rsidRPr="00065F52">
        <w:rPr>
          <w:rFonts w:ascii="仿宋_GB2312" w:eastAsia="仿宋_GB2312" w:hAnsi="宋体" w:hint="eastAsia"/>
          <w:sz w:val="32"/>
          <w:szCs w:val="32"/>
        </w:rPr>
        <w:t>执行部分的前置审查程序，因此，不服执行异议前置程序裁决结果而提起执行异议之诉的原告可能是案外人，也可以能申请执行人。普通民事诉讼中，原告与被告之间存在直接相对的债权关系，但执行异议之诉的申请执行人与案外人之间没有直接的债权债务关系，而是与被执行人之间存在不同性质的债的关系。</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3）诉讼标的涵盖范围广。执行异议之诉中，被保全、被执行财产具有多样性，案外人对执行标的提出实体主张所涉及的标的物范围必然广泛。如房屋和土地等不动产，机器设备、车辆等动产，还有银行存款、保证金、票据、仓单等各种类型的被保全标的。</w:t>
      </w:r>
    </w:p>
    <w:p w:rsidR="006B7F21" w:rsidRPr="00065F52" w:rsidRDefault="006B7F21" w:rsidP="006B7F21">
      <w:pPr>
        <w:spacing w:line="560" w:lineRule="exact"/>
        <w:ind w:firstLineChars="150" w:firstLine="480"/>
        <w:rPr>
          <w:rFonts w:ascii="仿宋_GB2312" w:eastAsia="仿宋_GB2312" w:hAnsi="宋体"/>
          <w:sz w:val="32"/>
          <w:szCs w:val="32"/>
        </w:rPr>
      </w:pPr>
      <w:r w:rsidRPr="00065F52">
        <w:rPr>
          <w:rFonts w:ascii="仿宋_GB2312" w:eastAsia="仿宋_GB2312" w:hAnsi="宋体" w:hint="eastAsia"/>
          <w:sz w:val="32"/>
          <w:szCs w:val="32"/>
        </w:rPr>
        <w:t>（4）基础法律关系复杂。案外人对不同执行标的主张权利主要以确权的形式表现，但由于标的物的广泛性必然导致基础法律关系的复杂化。实践中常见排除执行的法律关系包括：买卖合同、共有物分割、以物抵债、借用、租赁、隐名权利、代位权利等法律关系。</w:t>
      </w:r>
    </w:p>
    <w:p w:rsidR="006B7F21" w:rsidRPr="00065F52" w:rsidRDefault="006B7F21" w:rsidP="006B7F21">
      <w:pPr>
        <w:keepNext/>
        <w:keepLines/>
        <w:spacing w:line="416" w:lineRule="auto"/>
        <w:ind w:firstLineChars="200" w:firstLine="640"/>
        <w:outlineLvl w:val="2"/>
        <w:rPr>
          <w:rFonts w:ascii="仿宋_GB2312" w:eastAsia="仿宋_GB2312" w:hAnsi="宋体"/>
          <w:bCs/>
          <w:sz w:val="32"/>
          <w:szCs w:val="32"/>
        </w:rPr>
      </w:pPr>
      <w:bookmarkStart w:id="37" w:name="_Toc36025650"/>
      <w:bookmarkStart w:id="38" w:name="_Toc36025674"/>
      <w:bookmarkStart w:id="39" w:name="_Toc36025836"/>
      <w:bookmarkStart w:id="40" w:name="_Toc36027082"/>
      <w:r w:rsidRPr="00065F52">
        <w:rPr>
          <w:rFonts w:ascii="仿宋_GB2312" w:eastAsia="仿宋_GB2312" w:hAnsi="宋体" w:hint="eastAsia"/>
          <w:bCs/>
          <w:sz w:val="32"/>
          <w:szCs w:val="32"/>
        </w:rPr>
        <w:t>3.执行异议之诉的审查原则</w:t>
      </w:r>
      <w:bookmarkEnd w:id="37"/>
      <w:bookmarkEnd w:id="38"/>
      <w:bookmarkEnd w:id="39"/>
      <w:bookmarkEnd w:id="40"/>
    </w:p>
    <w:p w:rsidR="006B7F21" w:rsidRPr="00065F52" w:rsidRDefault="006B7F21" w:rsidP="006B7F21">
      <w:pPr>
        <w:spacing w:line="560" w:lineRule="exact"/>
        <w:ind w:firstLine="645"/>
        <w:rPr>
          <w:rFonts w:ascii="仿宋_GB2312" w:eastAsia="仿宋_GB2312" w:hAnsi="宋体"/>
          <w:sz w:val="32"/>
          <w:szCs w:val="32"/>
        </w:rPr>
      </w:pPr>
      <w:r w:rsidRPr="00065F52">
        <w:rPr>
          <w:rFonts w:ascii="仿宋_GB2312" w:eastAsia="仿宋_GB2312" w:hAnsi="宋体" w:hint="eastAsia"/>
          <w:sz w:val="32"/>
          <w:szCs w:val="32"/>
        </w:rPr>
        <w:t>（1）实体审查原则</w:t>
      </w:r>
    </w:p>
    <w:p w:rsidR="006B7F21" w:rsidRPr="00065F52" w:rsidRDefault="006B7F21" w:rsidP="006B7F21">
      <w:pPr>
        <w:spacing w:line="560" w:lineRule="exact"/>
        <w:ind w:firstLine="645"/>
        <w:rPr>
          <w:rFonts w:ascii="仿宋_GB2312" w:eastAsia="仿宋_GB2312" w:hAnsi="宋体"/>
          <w:sz w:val="32"/>
          <w:szCs w:val="32"/>
        </w:rPr>
      </w:pPr>
      <w:r w:rsidRPr="00065F52">
        <w:rPr>
          <w:rFonts w:ascii="仿宋_GB2312" w:eastAsia="仿宋_GB2312" w:hAnsi="宋体" w:hint="eastAsia"/>
          <w:sz w:val="32"/>
          <w:szCs w:val="32"/>
        </w:rPr>
        <w:t>不同于执行异议程序的形式审查原则，执行异议之</w:t>
      </w:r>
      <w:proofErr w:type="gramStart"/>
      <w:r w:rsidRPr="00065F52">
        <w:rPr>
          <w:rFonts w:ascii="仿宋_GB2312" w:eastAsia="仿宋_GB2312" w:hAnsi="宋体" w:hint="eastAsia"/>
          <w:sz w:val="32"/>
          <w:szCs w:val="32"/>
        </w:rPr>
        <w:t>诉需要</w:t>
      </w:r>
      <w:proofErr w:type="gramEnd"/>
      <w:r w:rsidRPr="00065F52">
        <w:rPr>
          <w:rFonts w:ascii="仿宋_GB2312" w:eastAsia="仿宋_GB2312" w:hAnsi="宋体" w:hint="eastAsia"/>
          <w:sz w:val="32"/>
          <w:szCs w:val="32"/>
        </w:rPr>
        <w:t>对案外人主张排除执行的权利进行实体性审查。执行异议之诉中，案外人对于标的物的权属可以一并提出确认权属的诉讼请求，但即使案外人未提出确权的诉讼请求，在审查过</w:t>
      </w:r>
      <w:r w:rsidRPr="00065F52">
        <w:rPr>
          <w:rFonts w:ascii="仿宋_GB2312" w:eastAsia="仿宋_GB2312" w:hAnsi="宋体" w:hint="eastAsia"/>
          <w:sz w:val="32"/>
          <w:szCs w:val="32"/>
        </w:rPr>
        <w:lastRenderedPageBreak/>
        <w:t>程中，仍应当</w:t>
      </w:r>
      <w:proofErr w:type="gramStart"/>
      <w:r w:rsidRPr="00065F52">
        <w:rPr>
          <w:rFonts w:ascii="仿宋_GB2312" w:eastAsia="仿宋_GB2312" w:hAnsi="宋体" w:hint="eastAsia"/>
          <w:sz w:val="32"/>
          <w:szCs w:val="32"/>
        </w:rPr>
        <w:t>对于案</w:t>
      </w:r>
      <w:proofErr w:type="gramEnd"/>
      <w:r w:rsidRPr="00065F52">
        <w:rPr>
          <w:rFonts w:ascii="仿宋_GB2312" w:eastAsia="仿宋_GB2312" w:hAnsi="宋体" w:hint="eastAsia"/>
          <w:sz w:val="32"/>
          <w:szCs w:val="32"/>
        </w:rPr>
        <w:t>外人是否对标的物享有实体权利或者案外人是否达到了排除执行的实体权利标准进行审查，应充分</w:t>
      </w:r>
      <w:proofErr w:type="gramStart"/>
      <w:r w:rsidRPr="00065F52">
        <w:rPr>
          <w:rFonts w:ascii="仿宋_GB2312" w:eastAsia="仿宋_GB2312" w:hAnsi="宋体" w:hint="eastAsia"/>
          <w:sz w:val="32"/>
          <w:szCs w:val="32"/>
        </w:rPr>
        <w:t>给予案</w:t>
      </w:r>
      <w:proofErr w:type="gramEnd"/>
      <w:r w:rsidRPr="00065F52">
        <w:rPr>
          <w:rFonts w:ascii="仿宋_GB2312" w:eastAsia="仿宋_GB2312" w:hAnsi="宋体" w:hint="eastAsia"/>
          <w:sz w:val="32"/>
          <w:szCs w:val="32"/>
        </w:rPr>
        <w:t>外人举证的权利，并谨慎使用当事人自认原则，防止虚假诉讼。</w:t>
      </w:r>
    </w:p>
    <w:p w:rsidR="006B7F21" w:rsidRPr="00065F52" w:rsidRDefault="006B7F21" w:rsidP="006B7F21">
      <w:pPr>
        <w:spacing w:line="560" w:lineRule="exact"/>
        <w:ind w:firstLine="645"/>
        <w:rPr>
          <w:rFonts w:ascii="仿宋_GB2312" w:eastAsia="仿宋_GB2312" w:hAnsi="宋体"/>
          <w:sz w:val="32"/>
          <w:szCs w:val="32"/>
        </w:rPr>
      </w:pPr>
      <w:r w:rsidRPr="00065F52">
        <w:rPr>
          <w:rFonts w:ascii="仿宋_GB2312" w:eastAsia="仿宋_GB2312" w:hAnsi="宋体" w:hint="eastAsia"/>
          <w:sz w:val="32"/>
          <w:szCs w:val="32"/>
        </w:rPr>
        <w:t>（2）类型法定原则</w:t>
      </w:r>
    </w:p>
    <w:p w:rsidR="006B7F21" w:rsidRPr="00065F52" w:rsidRDefault="006B7F21" w:rsidP="006B7F21">
      <w:pPr>
        <w:spacing w:line="560" w:lineRule="exact"/>
        <w:ind w:firstLine="645"/>
        <w:rPr>
          <w:rFonts w:ascii="仿宋_GB2312" w:eastAsia="仿宋_GB2312" w:hAnsi="宋体"/>
          <w:sz w:val="32"/>
          <w:szCs w:val="32"/>
        </w:rPr>
      </w:pPr>
      <w:r w:rsidRPr="00065F52">
        <w:rPr>
          <w:rFonts w:ascii="仿宋_GB2312" w:eastAsia="仿宋_GB2312" w:hAnsi="宋体" w:hint="eastAsia"/>
          <w:sz w:val="32"/>
          <w:szCs w:val="32"/>
        </w:rPr>
        <w:t>根据民事诉讼法及司法解释等相关规定，案外人提出执行异议形成的诉讼包括申请执行人请求许可执行的执行异议之诉、案外人请求排除执行的执行异议之诉，还有因诉讼保全引发的执行异议之诉、追加被执行人引发的执行异议之诉及执行分配方案异议之诉。这些诉讼类型均有相应的法律作为依据。</w:t>
      </w:r>
    </w:p>
    <w:p w:rsidR="006B7F21" w:rsidRPr="00065F52" w:rsidRDefault="006B7F21" w:rsidP="006B7F21">
      <w:pPr>
        <w:spacing w:line="560" w:lineRule="exact"/>
        <w:ind w:firstLine="645"/>
        <w:rPr>
          <w:rFonts w:ascii="仿宋_GB2312" w:eastAsia="仿宋_GB2312" w:hAnsi="宋体"/>
          <w:sz w:val="32"/>
          <w:szCs w:val="32"/>
        </w:rPr>
      </w:pPr>
      <w:r w:rsidRPr="00065F52">
        <w:rPr>
          <w:rFonts w:ascii="仿宋_GB2312" w:eastAsia="仿宋_GB2312" w:hAnsi="宋体" w:hint="eastAsia"/>
          <w:sz w:val="32"/>
          <w:szCs w:val="32"/>
        </w:rPr>
        <w:t>（3）兼顾效率原则</w:t>
      </w:r>
    </w:p>
    <w:p w:rsidR="006B7F21" w:rsidRPr="00065F52" w:rsidRDefault="006B7F21" w:rsidP="006B7F21">
      <w:pPr>
        <w:spacing w:line="560" w:lineRule="exact"/>
        <w:ind w:firstLine="645"/>
        <w:rPr>
          <w:rFonts w:ascii="仿宋_GB2312" w:eastAsia="仿宋_GB2312" w:hAnsi="宋体"/>
          <w:sz w:val="32"/>
          <w:szCs w:val="32"/>
        </w:rPr>
      </w:pPr>
      <w:r w:rsidRPr="00065F52">
        <w:rPr>
          <w:rFonts w:ascii="仿宋_GB2312" w:eastAsia="仿宋_GB2312" w:hAnsi="宋体" w:hint="eastAsia"/>
          <w:sz w:val="32"/>
          <w:szCs w:val="32"/>
        </w:rPr>
        <w:t>执行异议之</w:t>
      </w:r>
      <w:proofErr w:type="gramStart"/>
      <w:r w:rsidRPr="00065F52">
        <w:rPr>
          <w:rFonts w:ascii="仿宋_GB2312" w:eastAsia="仿宋_GB2312" w:hAnsi="宋体" w:hint="eastAsia"/>
          <w:sz w:val="32"/>
          <w:szCs w:val="32"/>
        </w:rPr>
        <w:t>诉受案件</w:t>
      </w:r>
      <w:proofErr w:type="gramEnd"/>
      <w:r w:rsidRPr="00065F52">
        <w:rPr>
          <w:rFonts w:ascii="仿宋_GB2312" w:eastAsia="仿宋_GB2312" w:hAnsi="宋体" w:hint="eastAsia"/>
          <w:sz w:val="32"/>
          <w:szCs w:val="32"/>
        </w:rPr>
        <w:t>复杂程度的影响及一裁两审、被执行人</w:t>
      </w:r>
      <w:proofErr w:type="gramStart"/>
      <w:r w:rsidRPr="00065F52">
        <w:rPr>
          <w:rFonts w:ascii="仿宋_GB2312" w:eastAsia="仿宋_GB2312" w:hAnsi="宋体" w:hint="eastAsia"/>
          <w:sz w:val="32"/>
          <w:szCs w:val="32"/>
        </w:rPr>
        <w:t>不</w:t>
      </w:r>
      <w:proofErr w:type="gramEnd"/>
      <w:r w:rsidRPr="00065F52">
        <w:rPr>
          <w:rFonts w:ascii="仿宋_GB2312" w:eastAsia="仿宋_GB2312" w:hAnsi="宋体" w:hint="eastAsia"/>
          <w:sz w:val="32"/>
          <w:szCs w:val="32"/>
        </w:rPr>
        <w:t>到庭等程序因素的影响，往往审判周期较长，对此类案件的审判效率有重大影响，且会延伸影响执行效率。因此，在审理执行异议之诉案件过程中，一定要在实质审查的基础上兼顾审判效率，尽量避免诉讼周期过于冗长。</w:t>
      </w:r>
    </w:p>
    <w:p w:rsidR="006B7F21" w:rsidRPr="00065F52" w:rsidRDefault="006B7F21" w:rsidP="006B7F21">
      <w:pPr>
        <w:spacing w:line="560" w:lineRule="exact"/>
        <w:ind w:firstLine="645"/>
        <w:rPr>
          <w:rFonts w:ascii="仿宋_GB2312" w:eastAsia="仿宋_GB2312" w:hAnsi="宋体"/>
          <w:sz w:val="32"/>
          <w:szCs w:val="32"/>
        </w:rPr>
      </w:pPr>
    </w:p>
    <w:p w:rsidR="006B7F21" w:rsidRPr="00065F52" w:rsidRDefault="006B7F21" w:rsidP="006B7F21">
      <w:pPr>
        <w:spacing w:line="560" w:lineRule="exact"/>
        <w:jc w:val="center"/>
        <w:rPr>
          <w:rFonts w:ascii="仿宋_GB2312" w:eastAsia="仿宋_GB2312" w:hAnsi="宋体"/>
          <w:sz w:val="32"/>
          <w:szCs w:val="32"/>
        </w:rPr>
      </w:pPr>
    </w:p>
    <w:p w:rsidR="006B7F21" w:rsidRPr="00065F52" w:rsidRDefault="006B7F21" w:rsidP="006B7F21">
      <w:pPr>
        <w:spacing w:line="560" w:lineRule="exact"/>
        <w:jc w:val="center"/>
        <w:rPr>
          <w:rFonts w:ascii="仿宋_GB2312" w:eastAsia="仿宋_GB2312" w:hAnsi="宋体"/>
          <w:sz w:val="32"/>
          <w:szCs w:val="32"/>
        </w:rPr>
      </w:pPr>
    </w:p>
    <w:p w:rsidR="006B7F21" w:rsidRPr="00065F52" w:rsidRDefault="006B7F21" w:rsidP="006B7F21">
      <w:pPr>
        <w:spacing w:line="560" w:lineRule="exact"/>
        <w:jc w:val="center"/>
        <w:rPr>
          <w:rFonts w:ascii="仿宋_GB2312" w:eastAsia="仿宋_GB2312" w:hAnsi="宋体"/>
          <w:sz w:val="32"/>
          <w:szCs w:val="32"/>
        </w:rPr>
      </w:pPr>
    </w:p>
    <w:p w:rsidR="006B7F21" w:rsidRPr="00065F52" w:rsidRDefault="006B7F21" w:rsidP="006B7F21">
      <w:pPr>
        <w:spacing w:line="560" w:lineRule="exact"/>
        <w:jc w:val="center"/>
        <w:rPr>
          <w:rFonts w:ascii="仿宋_GB2312" w:eastAsia="仿宋_GB2312" w:hAnsi="宋体"/>
          <w:sz w:val="32"/>
          <w:szCs w:val="32"/>
        </w:rPr>
      </w:pPr>
    </w:p>
    <w:p w:rsidR="006B7F21" w:rsidRPr="00065F52" w:rsidRDefault="006B7F21" w:rsidP="006B7F21">
      <w:pPr>
        <w:spacing w:line="560" w:lineRule="exact"/>
        <w:jc w:val="center"/>
        <w:rPr>
          <w:rFonts w:ascii="仿宋_GB2312" w:eastAsia="仿宋_GB2312" w:hAnsi="宋体"/>
          <w:sz w:val="32"/>
          <w:szCs w:val="32"/>
        </w:rPr>
      </w:pPr>
    </w:p>
    <w:p w:rsidR="006B7F21" w:rsidRPr="00065F52" w:rsidRDefault="006B7F21" w:rsidP="006B7F21">
      <w:pPr>
        <w:spacing w:line="560" w:lineRule="exact"/>
        <w:jc w:val="center"/>
        <w:rPr>
          <w:rFonts w:ascii="仿宋_GB2312" w:eastAsia="仿宋_GB2312" w:hAnsi="宋体"/>
          <w:sz w:val="32"/>
          <w:szCs w:val="32"/>
        </w:rPr>
      </w:pPr>
    </w:p>
    <w:p w:rsidR="006B7F21" w:rsidRPr="00065F52" w:rsidRDefault="006B7F21" w:rsidP="00065F52">
      <w:pPr>
        <w:keepNext/>
        <w:keepLines/>
        <w:spacing w:line="578" w:lineRule="auto"/>
        <w:ind w:firstLineChars="200" w:firstLine="640"/>
        <w:outlineLvl w:val="0"/>
        <w:rPr>
          <w:rFonts w:ascii="黑体" w:eastAsia="黑体" w:hAnsi="黑体"/>
          <w:bCs/>
          <w:kern w:val="44"/>
          <w:sz w:val="32"/>
          <w:szCs w:val="32"/>
        </w:rPr>
      </w:pPr>
      <w:bookmarkStart w:id="41" w:name="_Toc36025651"/>
      <w:bookmarkStart w:id="42" w:name="_Toc36025675"/>
      <w:bookmarkStart w:id="43" w:name="_Toc36025837"/>
      <w:bookmarkStart w:id="44" w:name="_Toc36027083"/>
      <w:r w:rsidRPr="00065F52">
        <w:rPr>
          <w:rFonts w:ascii="黑体" w:eastAsia="黑体" w:hAnsi="黑体" w:hint="eastAsia"/>
          <w:bCs/>
          <w:kern w:val="44"/>
          <w:sz w:val="32"/>
          <w:szCs w:val="32"/>
        </w:rPr>
        <w:lastRenderedPageBreak/>
        <w:t>三、执行异议与执行异议之诉裁判概况</w:t>
      </w:r>
      <w:bookmarkEnd w:id="41"/>
      <w:bookmarkEnd w:id="42"/>
      <w:bookmarkEnd w:id="43"/>
      <w:bookmarkEnd w:id="44"/>
    </w:p>
    <w:p w:rsidR="006B7F21" w:rsidRPr="00065F52" w:rsidRDefault="006B7F21" w:rsidP="006B7F21">
      <w:pPr>
        <w:keepNext/>
        <w:keepLines/>
        <w:spacing w:line="416" w:lineRule="auto"/>
        <w:ind w:firstLineChars="200" w:firstLine="640"/>
        <w:outlineLvl w:val="1"/>
        <w:rPr>
          <w:rFonts w:ascii="楷体_GB2312" w:eastAsia="楷体_GB2312" w:hAnsi="宋体"/>
          <w:bCs/>
          <w:sz w:val="32"/>
          <w:szCs w:val="32"/>
        </w:rPr>
      </w:pPr>
      <w:bookmarkStart w:id="45" w:name="_Toc36025652"/>
      <w:bookmarkStart w:id="46" w:name="_Toc36025676"/>
      <w:bookmarkStart w:id="47" w:name="_Toc36025838"/>
      <w:bookmarkStart w:id="48" w:name="_Toc36027084"/>
      <w:r w:rsidRPr="00065F52">
        <w:rPr>
          <w:rFonts w:ascii="楷体_GB2312" w:eastAsia="楷体_GB2312" w:hAnsi="宋体" w:hint="eastAsia"/>
          <w:bCs/>
          <w:sz w:val="32"/>
          <w:szCs w:val="32"/>
        </w:rPr>
        <w:t>（一）执行异议与执行异议之诉的基本数据分析</w:t>
      </w:r>
      <w:bookmarkEnd w:id="45"/>
      <w:bookmarkEnd w:id="46"/>
      <w:bookmarkEnd w:id="47"/>
      <w:bookmarkEnd w:id="48"/>
    </w:p>
    <w:p w:rsidR="006B7F21" w:rsidRPr="00065F52" w:rsidRDefault="006B7F21" w:rsidP="006B7F21">
      <w:pPr>
        <w:keepNext/>
        <w:keepLines/>
        <w:spacing w:line="416" w:lineRule="auto"/>
        <w:ind w:firstLineChars="200" w:firstLine="640"/>
        <w:outlineLvl w:val="2"/>
        <w:rPr>
          <w:rFonts w:ascii="仿宋_GB2312" w:eastAsia="仿宋_GB2312" w:hAnsi="宋体"/>
          <w:bCs/>
          <w:sz w:val="32"/>
          <w:szCs w:val="32"/>
        </w:rPr>
      </w:pPr>
      <w:bookmarkStart w:id="49" w:name="_Toc36025653"/>
      <w:bookmarkStart w:id="50" w:name="_Toc36025677"/>
      <w:bookmarkStart w:id="51" w:name="_Toc36025839"/>
      <w:bookmarkStart w:id="52" w:name="_Toc36027085"/>
      <w:r w:rsidRPr="00065F52">
        <w:rPr>
          <w:rFonts w:ascii="仿宋_GB2312" w:eastAsia="仿宋_GB2312" w:hAnsi="宋体" w:hint="eastAsia"/>
          <w:bCs/>
          <w:sz w:val="32"/>
          <w:szCs w:val="32"/>
        </w:rPr>
        <w:t>1.案件受理情况</w:t>
      </w:r>
      <w:bookmarkEnd w:id="49"/>
      <w:bookmarkEnd w:id="50"/>
      <w:bookmarkEnd w:id="51"/>
      <w:bookmarkEnd w:id="52"/>
    </w:p>
    <w:p w:rsidR="006B7F21" w:rsidRPr="00065F52" w:rsidRDefault="006B7F21" w:rsidP="006B7F21">
      <w:pPr>
        <w:autoSpaceDE w:val="0"/>
        <w:autoSpaceDN w:val="0"/>
        <w:adjustRightInd w:val="0"/>
        <w:spacing w:line="560" w:lineRule="exact"/>
        <w:ind w:firstLineChars="200" w:firstLine="640"/>
        <w:rPr>
          <w:rFonts w:ascii="仿宋_GB2312" w:eastAsia="仿宋_GB2312" w:hAnsi="宋体" w:cs="仿宋"/>
          <w:color w:val="000000"/>
          <w:kern w:val="0"/>
          <w:sz w:val="32"/>
          <w:szCs w:val="32"/>
        </w:rPr>
      </w:pPr>
      <w:r w:rsidRPr="00065F52">
        <w:rPr>
          <w:rFonts w:ascii="仿宋_GB2312" w:eastAsia="仿宋_GB2312" w:hAnsi="宋体" w:cs="仿宋" w:hint="eastAsia"/>
          <w:color w:val="000000"/>
          <w:kern w:val="0"/>
          <w:sz w:val="32"/>
          <w:szCs w:val="32"/>
        </w:rPr>
        <w:t>2017年至2019年期间，青岛地区两级法院受理执行异议与执行异议之诉案件呈快速增长态势。</w:t>
      </w:r>
      <w:bookmarkStart w:id="53" w:name="_Hlk34765054"/>
      <w:r w:rsidRPr="00065F52">
        <w:rPr>
          <w:rFonts w:ascii="仿宋_GB2312" w:eastAsia="仿宋_GB2312" w:hAnsi="宋体" w:cs="仿宋" w:hint="eastAsia"/>
          <w:color w:val="000000"/>
          <w:kern w:val="0"/>
          <w:sz w:val="32"/>
          <w:szCs w:val="32"/>
        </w:rPr>
        <w:t>2017年全市两级法院受理执行异议之诉案件与执行异议案件数量分别为385件、501件，2018年为540件、805件，2019年为833件、1038件</w:t>
      </w:r>
      <w:bookmarkEnd w:id="53"/>
      <w:r w:rsidRPr="00065F52">
        <w:rPr>
          <w:rFonts w:ascii="仿宋_GB2312" w:eastAsia="仿宋_GB2312" w:hAnsi="宋体" w:cs="仿宋" w:hint="eastAsia"/>
          <w:color w:val="000000"/>
          <w:kern w:val="0"/>
          <w:sz w:val="32"/>
          <w:szCs w:val="32"/>
        </w:rPr>
        <w:t>，2018年、2019年增幅分别为51%、40%。</w:t>
      </w:r>
    </w:p>
    <w:p w:rsidR="006B7F21" w:rsidRPr="00065F52" w:rsidRDefault="006B7F21" w:rsidP="006B7F21">
      <w:pPr>
        <w:autoSpaceDE w:val="0"/>
        <w:autoSpaceDN w:val="0"/>
        <w:adjustRightInd w:val="0"/>
        <w:spacing w:line="560" w:lineRule="exact"/>
        <w:ind w:firstLineChars="200" w:firstLine="640"/>
        <w:rPr>
          <w:rFonts w:ascii="仿宋_GB2312" w:eastAsia="仿宋_GB2312" w:hAnsi="宋体" w:cs="华文仿宋"/>
          <w:color w:val="000000"/>
          <w:kern w:val="0"/>
          <w:sz w:val="32"/>
          <w:szCs w:val="32"/>
        </w:rPr>
      </w:pPr>
      <w:r w:rsidRPr="00065F52">
        <w:rPr>
          <w:rFonts w:ascii="仿宋_GB2312" w:eastAsia="仿宋_GB2312" w:hAnsi="宋体" w:cs="仿宋" w:hint="eastAsia"/>
          <w:color w:val="000000"/>
          <w:kern w:val="0"/>
          <w:sz w:val="32"/>
          <w:szCs w:val="32"/>
        </w:rPr>
        <w:t>对比2019年与2017年受理案件的数据，执行异议之诉案件</w:t>
      </w:r>
      <w:r w:rsidRPr="00065F52">
        <w:rPr>
          <w:rFonts w:ascii="仿宋_GB2312" w:eastAsia="仿宋_GB2312" w:hAnsi="宋体" w:cs="华文仿宋" w:hint="eastAsia"/>
          <w:color w:val="000000"/>
          <w:kern w:val="0"/>
          <w:sz w:val="32"/>
          <w:szCs w:val="32"/>
        </w:rPr>
        <w:t>增长了111%。而同期其他传统民商事案件的增长幅度，民间借贷类案件的增幅为70%，婚姻家庭类案件则减少了4%。</w:t>
      </w:r>
    </w:p>
    <w:p w:rsidR="006B7F21" w:rsidRPr="00065F52" w:rsidRDefault="006B7F21" w:rsidP="006B7F21">
      <w:pPr>
        <w:autoSpaceDE w:val="0"/>
        <w:autoSpaceDN w:val="0"/>
        <w:adjustRightInd w:val="0"/>
        <w:spacing w:line="560" w:lineRule="exact"/>
        <w:ind w:firstLineChars="200" w:firstLine="640"/>
        <w:rPr>
          <w:rFonts w:ascii="仿宋_GB2312" w:eastAsia="仿宋_GB2312" w:hAnsi="宋体" w:cs="仿宋"/>
          <w:color w:val="000000"/>
          <w:kern w:val="0"/>
          <w:sz w:val="32"/>
          <w:szCs w:val="32"/>
        </w:rPr>
      </w:pPr>
    </w:p>
    <w:p w:rsidR="006B7F21" w:rsidRPr="00065F52" w:rsidRDefault="006B7F21" w:rsidP="006B7F21">
      <w:pPr>
        <w:autoSpaceDE w:val="0"/>
        <w:autoSpaceDN w:val="0"/>
        <w:adjustRightInd w:val="0"/>
        <w:spacing w:line="560" w:lineRule="exact"/>
        <w:ind w:firstLineChars="200" w:firstLine="640"/>
        <w:rPr>
          <w:rFonts w:ascii="仿宋_GB2312" w:eastAsia="仿宋_GB2312" w:hAnsi="宋体" w:cs="仿宋"/>
          <w:color w:val="000000"/>
          <w:kern w:val="0"/>
          <w:sz w:val="32"/>
          <w:szCs w:val="32"/>
        </w:rPr>
      </w:pPr>
      <w:r w:rsidRPr="00065F52">
        <w:rPr>
          <w:rFonts w:ascii="仿宋_GB2312" w:eastAsia="仿宋_GB2312" w:hAnsi="宋体" w:cs="仿宋" w:hint="eastAsia"/>
          <w:noProof/>
          <w:color w:val="000000"/>
          <w:kern w:val="0"/>
          <w:sz w:val="32"/>
          <w:szCs w:val="32"/>
        </w:rPr>
        <w:drawing>
          <wp:anchor distT="0" distB="0" distL="114300" distR="114300" simplePos="0" relativeHeight="251652096" behindDoc="0" locked="0" layoutInCell="1" allowOverlap="1">
            <wp:simplePos x="0" y="0"/>
            <wp:positionH relativeFrom="margin">
              <wp:posOffset>661670</wp:posOffset>
            </wp:positionH>
            <wp:positionV relativeFrom="paragraph">
              <wp:posOffset>5715</wp:posOffset>
            </wp:positionV>
            <wp:extent cx="4657725" cy="3486150"/>
            <wp:effectExtent l="19050" t="0" r="9525" b="0"/>
            <wp:wrapNone/>
            <wp:docPr id="57"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6B7F21" w:rsidRPr="00065F52" w:rsidRDefault="006B7F21" w:rsidP="006B7F21">
      <w:pPr>
        <w:autoSpaceDE w:val="0"/>
        <w:autoSpaceDN w:val="0"/>
        <w:adjustRightInd w:val="0"/>
        <w:spacing w:line="560" w:lineRule="exact"/>
        <w:ind w:firstLineChars="200" w:firstLine="640"/>
        <w:rPr>
          <w:rFonts w:ascii="仿宋_GB2312" w:eastAsia="仿宋_GB2312" w:hAnsi="宋体" w:cs="仿宋"/>
          <w:color w:val="000000"/>
          <w:kern w:val="0"/>
          <w:sz w:val="32"/>
          <w:szCs w:val="32"/>
        </w:rPr>
      </w:pPr>
    </w:p>
    <w:p w:rsidR="006B7F21" w:rsidRPr="00065F52" w:rsidRDefault="006B7F21" w:rsidP="006B7F21">
      <w:pPr>
        <w:autoSpaceDE w:val="0"/>
        <w:autoSpaceDN w:val="0"/>
        <w:adjustRightInd w:val="0"/>
        <w:spacing w:line="560" w:lineRule="exact"/>
        <w:ind w:firstLineChars="200" w:firstLine="640"/>
        <w:rPr>
          <w:rFonts w:ascii="仿宋_GB2312" w:eastAsia="仿宋_GB2312" w:hAnsi="宋体" w:cs="仿宋"/>
          <w:color w:val="000000"/>
          <w:kern w:val="0"/>
          <w:sz w:val="32"/>
          <w:szCs w:val="32"/>
        </w:rPr>
      </w:pPr>
    </w:p>
    <w:p w:rsidR="006B7F21" w:rsidRPr="00065F52" w:rsidRDefault="006B7F21" w:rsidP="006B7F21">
      <w:pPr>
        <w:autoSpaceDE w:val="0"/>
        <w:autoSpaceDN w:val="0"/>
        <w:adjustRightInd w:val="0"/>
        <w:spacing w:line="560" w:lineRule="exact"/>
        <w:ind w:firstLineChars="200" w:firstLine="640"/>
        <w:rPr>
          <w:rFonts w:ascii="仿宋_GB2312" w:eastAsia="仿宋_GB2312" w:hAnsi="宋体" w:cs="仿宋"/>
          <w:color w:val="000000"/>
          <w:kern w:val="0"/>
          <w:sz w:val="32"/>
          <w:szCs w:val="32"/>
        </w:rPr>
      </w:pPr>
    </w:p>
    <w:p w:rsidR="006B7F21" w:rsidRPr="00065F52" w:rsidRDefault="006B7F21" w:rsidP="006B7F21">
      <w:pPr>
        <w:autoSpaceDE w:val="0"/>
        <w:autoSpaceDN w:val="0"/>
        <w:adjustRightInd w:val="0"/>
        <w:spacing w:line="560" w:lineRule="exact"/>
        <w:ind w:firstLineChars="200" w:firstLine="640"/>
        <w:rPr>
          <w:rFonts w:ascii="仿宋_GB2312" w:eastAsia="仿宋_GB2312" w:hAnsi="宋体" w:cs="仿宋"/>
          <w:color w:val="000000"/>
          <w:kern w:val="0"/>
          <w:sz w:val="32"/>
          <w:szCs w:val="32"/>
        </w:rPr>
      </w:pPr>
    </w:p>
    <w:p w:rsidR="006B7F21" w:rsidRPr="00065F52" w:rsidRDefault="006B7F21" w:rsidP="006B7F21">
      <w:pPr>
        <w:autoSpaceDE w:val="0"/>
        <w:autoSpaceDN w:val="0"/>
        <w:adjustRightInd w:val="0"/>
        <w:spacing w:line="560" w:lineRule="exact"/>
        <w:ind w:firstLineChars="200" w:firstLine="640"/>
        <w:rPr>
          <w:rFonts w:ascii="仿宋_GB2312" w:eastAsia="仿宋_GB2312" w:hAnsi="宋体" w:cs="仿宋"/>
          <w:color w:val="000000"/>
          <w:kern w:val="0"/>
          <w:sz w:val="32"/>
          <w:szCs w:val="32"/>
        </w:rPr>
      </w:pPr>
    </w:p>
    <w:p w:rsidR="006B7F21" w:rsidRPr="00065F52" w:rsidRDefault="006B7F21" w:rsidP="006B7F21">
      <w:pPr>
        <w:autoSpaceDE w:val="0"/>
        <w:autoSpaceDN w:val="0"/>
        <w:adjustRightInd w:val="0"/>
        <w:spacing w:line="560" w:lineRule="exact"/>
        <w:ind w:firstLineChars="200" w:firstLine="640"/>
        <w:rPr>
          <w:rFonts w:ascii="仿宋_GB2312" w:eastAsia="仿宋_GB2312" w:hAnsi="宋体" w:cs="仿宋"/>
          <w:color w:val="000000"/>
          <w:kern w:val="0"/>
          <w:sz w:val="32"/>
          <w:szCs w:val="32"/>
        </w:rPr>
      </w:pPr>
    </w:p>
    <w:p w:rsidR="006B7F21" w:rsidRPr="00065F52" w:rsidRDefault="006B7F21" w:rsidP="006B7F21">
      <w:pPr>
        <w:autoSpaceDE w:val="0"/>
        <w:autoSpaceDN w:val="0"/>
        <w:adjustRightInd w:val="0"/>
        <w:spacing w:line="560" w:lineRule="exact"/>
        <w:ind w:firstLineChars="200" w:firstLine="640"/>
        <w:rPr>
          <w:rFonts w:ascii="仿宋_GB2312" w:eastAsia="仿宋_GB2312" w:hAnsi="宋体" w:cs="仿宋"/>
          <w:color w:val="000000"/>
          <w:kern w:val="0"/>
          <w:sz w:val="32"/>
          <w:szCs w:val="32"/>
        </w:rPr>
      </w:pPr>
    </w:p>
    <w:p w:rsidR="006B7F21" w:rsidRPr="00065F52" w:rsidRDefault="006B7F21" w:rsidP="006B7F21">
      <w:pPr>
        <w:autoSpaceDE w:val="0"/>
        <w:autoSpaceDN w:val="0"/>
        <w:adjustRightInd w:val="0"/>
        <w:spacing w:line="560" w:lineRule="exact"/>
        <w:ind w:firstLineChars="200" w:firstLine="640"/>
        <w:rPr>
          <w:rFonts w:ascii="仿宋_GB2312" w:eastAsia="仿宋_GB2312" w:hAnsi="宋体" w:cs="仿宋"/>
          <w:color w:val="000000"/>
          <w:kern w:val="0"/>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noProof/>
          <w:sz w:val="32"/>
          <w:szCs w:val="32"/>
        </w:rPr>
        <w:lastRenderedPageBreak/>
        <w:drawing>
          <wp:anchor distT="0" distB="0" distL="114300" distR="114300" simplePos="0" relativeHeight="251654144" behindDoc="1" locked="0" layoutInCell="1" allowOverlap="1">
            <wp:simplePos x="0" y="0"/>
            <wp:positionH relativeFrom="margin">
              <wp:posOffset>585470</wp:posOffset>
            </wp:positionH>
            <wp:positionV relativeFrom="paragraph">
              <wp:posOffset>128905</wp:posOffset>
            </wp:positionV>
            <wp:extent cx="4724400" cy="3019425"/>
            <wp:effectExtent l="0" t="0" r="0" b="9525"/>
            <wp:wrapTopAndBottom/>
            <wp:docPr id="58" name="图表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6B7F21" w:rsidRPr="00065F52" w:rsidRDefault="006B7F21" w:rsidP="006B7F21">
      <w:pPr>
        <w:keepNext/>
        <w:keepLines/>
        <w:spacing w:line="416" w:lineRule="auto"/>
        <w:ind w:firstLineChars="200" w:firstLine="640"/>
        <w:outlineLvl w:val="2"/>
        <w:rPr>
          <w:rFonts w:ascii="仿宋_GB2312" w:eastAsia="仿宋_GB2312" w:hAnsi="宋体"/>
          <w:bCs/>
          <w:sz w:val="32"/>
          <w:szCs w:val="32"/>
        </w:rPr>
      </w:pPr>
      <w:bookmarkStart w:id="54" w:name="_Toc36025654"/>
      <w:bookmarkStart w:id="55" w:name="_Toc36025678"/>
      <w:bookmarkStart w:id="56" w:name="_Toc36025840"/>
      <w:bookmarkStart w:id="57" w:name="_Toc36027086"/>
      <w:r w:rsidRPr="00065F52">
        <w:rPr>
          <w:rFonts w:ascii="仿宋_GB2312" w:eastAsia="仿宋_GB2312" w:hAnsi="宋体" w:hint="eastAsia"/>
          <w:bCs/>
          <w:sz w:val="32"/>
          <w:szCs w:val="32"/>
        </w:rPr>
        <w:t>2.案件审结情况</w:t>
      </w:r>
      <w:bookmarkEnd w:id="54"/>
      <w:bookmarkEnd w:id="55"/>
      <w:bookmarkEnd w:id="56"/>
      <w:bookmarkEnd w:id="57"/>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cs="仿宋" w:hint="eastAsia"/>
          <w:sz w:val="32"/>
          <w:szCs w:val="32"/>
        </w:rPr>
        <w:t>2017年全市两级法院审结执行异议之诉案件及执行审查程序实体异议案件数量分别为365件、501件，2018年为502件、805件，2019年为799件、1038件，总收结比分别为95%、93%、96%。</w:t>
      </w: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cs="仿宋" w:hint="eastAsia"/>
          <w:noProof/>
          <w:sz w:val="32"/>
          <w:szCs w:val="32"/>
        </w:rPr>
        <w:drawing>
          <wp:anchor distT="0" distB="0" distL="114300" distR="114300" simplePos="0" relativeHeight="251662336" behindDoc="0" locked="0" layoutInCell="1" allowOverlap="1">
            <wp:simplePos x="0" y="0"/>
            <wp:positionH relativeFrom="margin">
              <wp:align>center</wp:align>
            </wp:positionH>
            <wp:positionV relativeFrom="paragraph">
              <wp:posOffset>76200</wp:posOffset>
            </wp:positionV>
            <wp:extent cx="4724400" cy="3267075"/>
            <wp:effectExtent l="0" t="0" r="0" b="9525"/>
            <wp:wrapNone/>
            <wp:docPr id="61" name="图表 6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keepNext/>
        <w:keepLines/>
        <w:spacing w:line="416" w:lineRule="auto"/>
        <w:ind w:firstLineChars="200" w:firstLine="640"/>
        <w:outlineLvl w:val="2"/>
        <w:rPr>
          <w:rFonts w:ascii="仿宋_GB2312" w:eastAsia="仿宋_GB2312" w:hAnsi="宋体"/>
          <w:bCs/>
          <w:sz w:val="32"/>
          <w:szCs w:val="32"/>
        </w:rPr>
      </w:pPr>
      <w:bookmarkStart w:id="58" w:name="_Toc36025655"/>
      <w:bookmarkStart w:id="59" w:name="_Toc36025679"/>
      <w:bookmarkStart w:id="60" w:name="_Toc36025841"/>
      <w:bookmarkStart w:id="61" w:name="_Toc36027087"/>
      <w:r w:rsidRPr="00065F52">
        <w:rPr>
          <w:rFonts w:ascii="仿宋_GB2312" w:eastAsia="仿宋_GB2312" w:hAnsi="宋体" w:hint="eastAsia"/>
          <w:bCs/>
          <w:sz w:val="32"/>
          <w:szCs w:val="32"/>
        </w:rPr>
        <w:lastRenderedPageBreak/>
        <w:t>3.审判周期情况</w:t>
      </w:r>
      <w:bookmarkEnd w:id="58"/>
      <w:bookmarkEnd w:id="59"/>
      <w:bookmarkEnd w:id="60"/>
      <w:bookmarkEnd w:id="61"/>
    </w:p>
    <w:p w:rsidR="006B7F21" w:rsidRPr="003B4B7B"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根据审判管理部门提供的数据，青岛两级法院审理执行异议之诉案件的平均审判周期</w:t>
      </w:r>
      <w:r w:rsidR="005F1B1C">
        <w:rPr>
          <w:rFonts w:ascii="仿宋_GB2312" w:eastAsia="仿宋_GB2312" w:hAnsi="宋体" w:hint="eastAsia"/>
          <w:sz w:val="32"/>
          <w:szCs w:val="32"/>
        </w:rPr>
        <w:t>为</w:t>
      </w:r>
      <w:r w:rsidRPr="00065F52">
        <w:rPr>
          <w:rFonts w:ascii="仿宋_GB2312" w:eastAsia="仿宋_GB2312" w:hAnsi="宋体" w:hint="eastAsia"/>
          <w:sz w:val="32"/>
          <w:szCs w:val="32"/>
        </w:rPr>
        <w:t>207天，传统民商事案件的平均审判周期为121天。执行异议之诉案件的审判周期是传统民商事案件近两倍时间。</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noProof/>
          <w:sz w:val="32"/>
          <w:szCs w:val="32"/>
        </w:rPr>
        <w:drawing>
          <wp:anchor distT="0" distB="0" distL="114300" distR="114300" simplePos="0" relativeHeight="251656192" behindDoc="0" locked="0" layoutInCell="1" allowOverlap="1">
            <wp:simplePos x="0" y="0"/>
            <wp:positionH relativeFrom="margin">
              <wp:posOffset>575945</wp:posOffset>
            </wp:positionH>
            <wp:positionV relativeFrom="paragraph">
              <wp:posOffset>522605</wp:posOffset>
            </wp:positionV>
            <wp:extent cx="4619625" cy="3438525"/>
            <wp:effectExtent l="0" t="0" r="9525" b="9525"/>
            <wp:wrapTopAndBottom/>
            <wp:docPr id="62" name="图表 6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keepNext/>
        <w:keepLines/>
        <w:spacing w:line="416" w:lineRule="auto"/>
        <w:ind w:firstLineChars="200" w:firstLine="640"/>
        <w:outlineLvl w:val="2"/>
        <w:rPr>
          <w:rFonts w:ascii="仿宋_GB2312" w:eastAsia="仿宋_GB2312" w:hAnsi="宋体"/>
          <w:bCs/>
          <w:sz w:val="32"/>
          <w:szCs w:val="32"/>
        </w:rPr>
      </w:pPr>
      <w:bookmarkStart w:id="62" w:name="_Toc36025656"/>
      <w:bookmarkStart w:id="63" w:name="_Toc36025680"/>
      <w:bookmarkStart w:id="64" w:name="_Toc36025842"/>
      <w:bookmarkStart w:id="65" w:name="_Toc36027088"/>
      <w:r w:rsidRPr="00065F52">
        <w:rPr>
          <w:rFonts w:ascii="仿宋_GB2312" w:eastAsia="仿宋_GB2312" w:hAnsi="宋体" w:hint="eastAsia"/>
          <w:bCs/>
          <w:sz w:val="32"/>
          <w:szCs w:val="32"/>
        </w:rPr>
        <w:t>4.诉讼标的分布情况</w:t>
      </w:r>
      <w:bookmarkEnd w:id="62"/>
      <w:bookmarkEnd w:id="63"/>
      <w:bookmarkEnd w:id="64"/>
      <w:bookmarkEnd w:id="65"/>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由于被采取执行措施的财产具有多样性，因此，执行异议与执行异议</w:t>
      </w:r>
      <w:proofErr w:type="gramStart"/>
      <w:r w:rsidRPr="00065F52">
        <w:rPr>
          <w:rFonts w:ascii="仿宋_GB2312" w:eastAsia="仿宋_GB2312" w:hAnsi="宋体" w:hint="eastAsia"/>
          <w:sz w:val="32"/>
          <w:szCs w:val="32"/>
        </w:rPr>
        <w:t>之诉所涉及</w:t>
      </w:r>
      <w:proofErr w:type="gramEnd"/>
      <w:r w:rsidRPr="00065F52">
        <w:rPr>
          <w:rFonts w:ascii="仿宋_GB2312" w:eastAsia="仿宋_GB2312" w:hAnsi="宋体" w:hint="eastAsia"/>
          <w:sz w:val="32"/>
          <w:szCs w:val="32"/>
        </w:rPr>
        <w:t>的诉讼标的也极为繁多，但常见的诉讼标的仍以不动产为主要标的物。根据近三年的案件样本清单，执行异议之诉中诉讼标的为房屋、土地等不动产的比例达到52%，其他动产类或权利类对抗执行的，以租赁权较多，达到12%。</w:t>
      </w: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noProof/>
          <w:sz w:val="32"/>
          <w:szCs w:val="32"/>
        </w:rPr>
        <w:drawing>
          <wp:anchor distT="0" distB="0" distL="114300" distR="114300" simplePos="0" relativeHeight="251658240" behindDoc="0" locked="0" layoutInCell="1" allowOverlap="1">
            <wp:simplePos x="0" y="0"/>
            <wp:positionH relativeFrom="margin">
              <wp:align>center</wp:align>
            </wp:positionH>
            <wp:positionV relativeFrom="paragraph">
              <wp:posOffset>495300</wp:posOffset>
            </wp:positionV>
            <wp:extent cx="4667250" cy="3286125"/>
            <wp:effectExtent l="0" t="0" r="0" b="9525"/>
            <wp:wrapTopAndBottom/>
            <wp:docPr id="63" name="图表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keepNext/>
        <w:keepLines/>
        <w:spacing w:line="416" w:lineRule="auto"/>
        <w:ind w:firstLineChars="200" w:firstLine="640"/>
        <w:outlineLvl w:val="2"/>
        <w:rPr>
          <w:rFonts w:ascii="仿宋_GB2312" w:eastAsia="仿宋_GB2312" w:hAnsi="宋体"/>
          <w:bCs/>
          <w:sz w:val="32"/>
          <w:szCs w:val="32"/>
        </w:rPr>
      </w:pPr>
      <w:bookmarkStart w:id="66" w:name="_Toc36025657"/>
      <w:bookmarkStart w:id="67" w:name="_Toc36025681"/>
      <w:bookmarkStart w:id="68" w:name="_Toc36025843"/>
      <w:bookmarkStart w:id="69" w:name="_Toc36027089"/>
      <w:r w:rsidRPr="00065F52">
        <w:rPr>
          <w:rFonts w:ascii="仿宋_GB2312" w:eastAsia="仿宋_GB2312" w:hAnsi="宋体" w:hint="eastAsia"/>
          <w:bCs/>
          <w:sz w:val="32"/>
          <w:szCs w:val="32"/>
        </w:rPr>
        <w:t>5.诉讼类型分布情况</w:t>
      </w:r>
      <w:bookmarkEnd w:id="66"/>
      <w:bookmarkEnd w:id="67"/>
      <w:bookmarkEnd w:id="68"/>
      <w:bookmarkEnd w:id="69"/>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执行异议之诉在民事案由中</w:t>
      </w:r>
      <w:proofErr w:type="gramStart"/>
      <w:r w:rsidRPr="00065F52">
        <w:rPr>
          <w:rFonts w:ascii="仿宋_GB2312" w:eastAsia="仿宋_GB2312" w:hAnsi="宋体" w:hint="eastAsia"/>
          <w:sz w:val="32"/>
          <w:szCs w:val="32"/>
        </w:rPr>
        <w:t>分为案</w:t>
      </w:r>
      <w:proofErr w:type="gramEnd"/>
      <w:r w:rsidRPr="00065F52">
        <w:rPr>
          <w:rFonts w:ascii="仿宋_GB2312" w:eastAsia="仿宋_GB2312" w:hAnsi="宋体" w:hint="eastAsia"/>
          <w:sz w:val="32"/>
          <w:szCs w:val="32"/>
        </w:rPr>
        <w:t>外人执行异议之诉、申请执行人执行异议之诉、执行分配方案异议之诉。但在2016年最高院发布了《关于民事执行中变更、追加当事人若干问题的规定》之后，执行异议之</w:t>
      </w:r>
      <w:proofErr w:type="gramStart"/>
      <w:r w:rsidRPr="00065F52">
        <w:rPr>
          <w:rFonts w:ascii="仿宋_GB2312" w:eastAsia="仿宋_GB2312" w:hAnsi="宋体" w:hint="eastAsia"/>
          <w:sz w:val="32"/>
          <w:szCs w:val="32"/>
        </w:rPr>
        <w:t>诉出现</w:t>
      </w:r>
      <w:proofErr w:type="gramEnd"/>
      <w:r w:rsidRPr="00065F52">
        <w:rPr>
          <w:rFonts w:ascii="仿宋_GB2312" w:eastAsia="仿宋_GB2312" w:hAnsi="宋体" w:hint="eastAsia"/>
          <w:sz w:val="32"/>
          <w:szCs w:val="32"/>
        </w:rPr>
        <w:t>因追加被执行人而引发的执行异议之诉，因此下表中加入了追加被执行人执行异议之诉的统计。同年，最高院还发布了《关于人民法院办理财产保全案件若干问题的规定》，其中对诉讼保全过程中的执行异议之</w:t>
      </w:r>
      <w:proofErr w:type="gramStart"/>
      <w:r w:rsidRPr="00065F52">
        <w:rPr>
          <w:rFonts w:ascii="仿宋_GB2312" w:eastAsia="仿宋_GB2312" w:hAnsi="宋体" w:hint="eastAsia"/>
          <w:sz w:val="32"/>
          <w:szCs w:val="32"/>
        </w:rPr>
        <w:t>诉进行</w:t>
      </w:r>
      <w:proofErr w:type="gramEnd"/>
      <w:r w:rsidRPr="00065F52">
        <w:rPr>
          <w:rFonts w:ascii="仿宋_GB2312" w:eastAsia="仿宋_GB2312" w:hAnsi="宋体" w:hint="eastAsia"/>
          <w:sz w:val="32"/>
          <w:szCs w:val="32"/>
        </w:rPr>
        <w:t>了规定，但保全异议之诉仍会划分为案外人执行异议之诉和申请执行人执行异议之诉，且在诉讼阶段的保全执行异议之</w:t>
      </w:r>
      <w:proofErr w:type="gramStart"/>
      <w:r w:rsidRPr="00065F52">
        <w:rPr>
          <w:rFonts w:ascii="仿宋_GB2312" w:eastAsia="仿宋_GB2312" w:hAnsi="宋体" w:hint="eastAsia"/>
          <w:sz w:val="32"/>
          <w:szCs w:val="32"/>
        </w:rPr>
        <w:t>诉数量</w:t>
      </w:r>
      <w:proofErr w:type="gramEnd"/>
      <w:r w:rsidRPr="00065F52">
        <w:rPr>
          <w:rFonts w:ascii="仿宋_GB2312" w:eastAsia="仿宋_GB2312" w:hAnsi="宋体" w:hint="eastAsia"/>
          <w:sz w:val="32"/>
          <w:szCs w:val="32"/>
        </w:rPr>
        <w:t>尚少，因此，本白皮书将保全异议之诉的数据一并计算在执行异议之诉的统计中。</w:t>
      </w: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noProof/>
          <w:sz w:val="32"/>
          <w:szCs w:val="32"/>
        </w:rPr>
        <w:drawing>
          <wp:anchor distT="0" distB="0" distL="114300" distR="114300" simplePos="0" relativeHeight="251660288" behindDoc="0" locked="0" layoutInCell="1" allowOverlap="1">
            <wp:simplePos x="0" y="0"/>
            <wp:positionH relativeFrom="margin">
              <wp:posOffset>442595</wp:posOffset>
            </wp:positionH>
            <wp:positionV relativeFrom="paragraph">
              <wp:posOffset>145415</wp:posOffset>
            </wp:positionV>
            <wp:extent cx="4886325" cy="3133725"/>
            <wp:effectExtent l="0" t="0" r="9525" b="9525"/>
            <wp:wrapNone/>
            <wp:docPr id="64"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keepNext/>
        <w:keepLines/>
        <w:spacing w:line="416" w:lineRule="auto"/>
        <w:ind w:firstLineChars="200" w:firstLine="640"/>
        <w:outlineLvl w:val="1"/>
        <w:rPr>
          <w:rFonts w:ascii="楷体_GB2312" w:eastAsia="楷体_GB2312" w:hAnsi="宋体"/>
          <w:bCs/>
          <w:sz w:val="32"/>
          <w:szCs w:val="32"/>
        </w:rPr>
      </w:pPr>
      <w:bookmarkStart w:id="70" w:name="_Toc36025658"/>
      <w:bookmarkStart w:id="71" w:name="_Toc36025682"/>
      <w:bookmarkStart w:id="72" w:name="_Toc36025844"/>
      <w:bookmarkStart w:id="73" w:name="_Toc36027090"/>
      <w:r w:rsidRPr="00065F52">
        <w:rPr>
          <w:rFonts w:ascii="楷体_GB2312" w:eastAsia="楷体_GB2312" w:hAnsi="宋体" w:hint="eastAsia"/>
          <w:bCs/>
          <w:sz w:val="32"/>
          <w:szCs w:val="32"/>
        </w:rPr>
        <w:t>（二）执行异议与执行异议之诉审查中的常见问题分析</w:t>
      </w:r>
      <w:bookmarkEnd w:id="70"/>
      <w:bookmarkEnd w:id="71"/>
      <w:bookmarkEnd w:id="72"/>
      <w:bookmarkEnd w:id="73"/>
    </w:p>
    <w:p w:rsidR="0028503A" w:rsidRPr="00065F52" w:rsidRDefault="006B7F21" w:rsidP="0028503A">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经过对青岛地区两级法院2017-2019年期间执行异议与执行异议之诉案件进行样本统计，并对形成该类诉讼的各类基础法律关系进行分类统计，该类诉讼在审判实践中的疑点、难点问题较多。本白皮书将各类问题划分为程序性问题、实体性问题两个方面，分别进行总结。</w:t>
      </w:r>
      <w:bookmarkStart w:id="74" w:name="_Toc36025659"/>
      <w:bookmarkStart w:id="75" w:name="_Toc36025683"/>
      <w:bookmarkStart w:id="76" w:name="_Toc36025845"/>
      <w:bookmarkStart w:id="77" w:name="_Toc36027091"/>
    </w:p>
    <w:p w:rsidR="006B7F21" w:rsidRPr="00065F52" w:rsidRDefault="0028503A" w:rsidP="0028503A">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1.</w:t>
      </w:r>
      <w:r w:rsidR="006B7F21" w:rsidRPr="00065F52">
        <w:rPr>
          <w:rFonts w:ascii="仿宋_GB2312" w:eastAsia="仿宋_GB2312" w:hAnsi="宋体" w:hint="eastAsia"/>
          <w:sz w:val="32"/>
          <w:szCs w:val="32"/>
        </w:rPr>
        <w:t>程序性问题</w:t>
      </w:r>
      <w:bookmarkEnd w:id="74"/>
      <w:bookmarkEnd w:id="75"/>
      <w:bookmarkEnd w:id="76"/>
      <w:bookmarkEnd w:id="77"/>
      <w:r w:rsidRPr="00065F52">
        <w:rPr>
          <w:rFonts w:ascii="仿宋_GB2312" w:eastAsia="仿宋_GB2312" w:hAnsi="宋体" w:hint="eastAsia"/>
          <w:sz w:val="32"/>
          <w:szCs w:val="32"/>
        </w:rPr>
        <w:t>：包括</w:t>
      </w:r>
      <w:r w:rsidRPr="00065F52">
        <w:rPr>
          <w:rFonts w:ascii="仿宋_GB2312" w:eastAsia="仿宋_GB2312" w:hAnsi="宋体" w:hint="eastAsia"/>
          <w:bCs/>
          <w:sz w:val="32"/>
          <w:szCs w:val="32"/>
        </w:rPr>
        <w:t>当事人的诉讼地位、</w:t>
      </w:r>
      <w:r w:rsidR="006B7F21" w:rsidRPr="00065F52">
        <w:rPr>
          <w:rFonts w:ascii="仿宋_GB2312" w:eastAsia="仿宋_GB2312" w:hAnsi="宋体" w:hint="eastAsia"/>
          <w:bCs/>
          <w:sz w:val="32"/>
          <w:szCs w:val="32"/>
        </w:rPr>
        <w:t>适用程序</w:t>
      </w:r>
      <w:r w:rsidRPr="00065F52">
        <w:rPr>
          <w:rFonts w:ascii="仿宋_GB2312" w:eastAsia="仿宋_GB2312" w:hAnsi="宋体" w:hint="eastAsia"/>
          <w:bCs/>
          <w:sz w:val="32"/>
          <w:szCs w:val="32"/>
        </w:rPr>
        <w:t>、</w:t>
      </w:r>
      <w:r w:rsidR="006B7F21" w:rsidRPr="00065F52">
        <w:rPr>
          <w:rFonts w:ascii="仿宋_GB2312" w:eastAsia="仿宋_GB2312" w:hAnsi="宋体" w:hint="eastAsia"/>
          <w:sz w:val="32"/>
          <w:szCs w:val="32"/>
        </w:rPr>
        <w:t>被执行人的范围</w:t>
      </w:r>
      <w:r w:rsidRPr="00065F52">
        <w:rPr>
          <w:rFonts w:ascii="仿宋_GB2312" w:eastAsia="仿宋_GB2312" w:hAnsi="宋体" w:hint="eastAsia"/>
          <w:sz w:val="32"/>
          <w:szCs w:val="32"/>
        </w:rPr>
        <w:t>、</w:t>
      </w:r>
      <w:r w:rsidR="006B7F21" w:rsidRPr="00065F52">
        <w:rPr>
          <w:rFonts w:ascii="仿宋_GB2312" w:eastAsia="仿宋_GB2312" w:hAnsi="宋体" w:hint="eastAsia"/>
          <w:sz w:val="32"/>
          <w:szCs w:val="32"/>
        </w:rPr>
        <w:t>诉讼请求</w:t>
      </w:r>
      <w:r w:rsidRPr="00065F52">
        <w:rPr>
          <w:rFonts w:ascii="仿宋_GB2312" w:eastAsia="仿宋_GB2312" w:hAnsi="宋体" w:hint="eastAsia"/>
          <w:sz w:val="32"/>
          <w:szCs w:val="32"/>
        </w:rPr>
        <w:t>、</w:t>
      </w:r>
      <w:r w:rsidR="006B7F21" w:rsidRPr="00065F52">
        <w:rPr>
          <w:rFonts w:ascii="仿宋_GB2312" w:eastAsia="仿宋_GB2312" w:hAnsi="宋体" w:hint="eastAsia"/>
          <w:bCs/>
          <w:sz w:val="32"/>
          <w:szCs w:val="32"/>
        </w:rPr>
        <w:t>执行异议之诉与再审程序及第三人撤销之</w:t>
      </w:r>
      <w:proofErr w:type="gramStart"/>
      <w:r w:rsidR="006B7F21" w:rsidRPr="00065F52">
        <w:rPr>
          <w:rFonts w:ascii="仿宋_GB2312" w:eastAsia="仿宋_GB2312" w:hAnsi="宋体" w:hint="eastAsia"/>
          <w:bCs/>
          <w:sz w:val="32"/>
          <w:szCs w:val="32"/>
        </w:rPr>
        <w:t>诉之间</w:t>
      </w:r>
      <w:proofErr w:type="gramEnd"/>
      <w:r w:rsidR="006B7F21" w:rsidRPr="00065F52">
        <w:rPr>
          <w:rFonts w:ascii="仿宋_GB2312" w:eastAsia="仿宋_GB2312" w:hAnsi="宋体" w:hint="eastAsia"/>
          <w:bCs/>
          <w:sz w:val="32"/>
          <w:szCs w:val="32"/>
        </w:rPr>
        <w:t>的程序交叉问题</w:t>
      </w:r>
      <w:r w:rsidRPr="00065F52">
        <w:rPr>
          <w:rFonts w:ascii="仿宋_GB2312" w:eastAsia="仿宋_GB2312" w:hAnsi="宋体" w:hint="eastAsia"/>
          <w:bCs/>
          <w:sz w:val="32"/>
          <w:szCs w:val="32"/>
        </w:rPr>
        <w:t>等</w:t>
      </w:r>
      <w:r w:rsidR="00DB1CFD">
        <w:rPr>
          <w:rFonts w:ascii="仿宋_GB2312" w:eastAsia="仿宋_GB2312" w:hAnsi="宋体" w:hint="eastAsia"/>
          <w:bCs/>
          <w:sz w:val="32"/>
          <w:szCs w:val="32"/>
        </w:rPr>
        <w:t>。</w:t>
      </w:r>
    </w:p>
    <w:p w:rsidR="006B7F21" w:rsidRPr="00065F52" w:rsidRDefault="0028503A" w:rsidP="0028503A">
      <w:pPr>
        <w:keepNext/>
        <w:keepLines/>
        <w:spacing w:line="416" w:lineRule="auto"/>
        <w:outlineLvl w:val="2"/>
        <w:rPr>
          <w:rFonts w:ascii="仿宋_GB2312" w:eastAsia="仿宋_GB2312" w:hAnsi="宋体"/>
          <w:sz w:val="32"/>
          <w:szCs w:val="32"/>
        </w:rPr>
      </w:pPr>
      <w:r w:rsidRPr="00065F52">
        <w:rPr>
          <w:rFonts w:ascii="仿宋_GB2312" w:eastAsia="仿宋_GB2312" w:hAnsi="微软雅黑" w:hint="eastAsia"/>
          <w:bCs/>
          <w:color w:val="000000"/>
          <w:sz w:val="32"/>
          <w:szCs w:val="32"/>
        </w:rPr>
        <w:lastRenderedPageBreak/>
        <w:t xml:space="preserve">   </w:t>
      </w:r>
      <w:r w:rsidR="006B7F21" w:rsidRPr="00065F52">
        <w:rPr>
          <w:rFonts w:ascii="仿宋_GB2312" w:eastAsia="仿宋_GB2312" w:hAnsi="微软雅黑" w:hint="eastAsia"/>
          <w:bCs/>
          <w:color w:val="000000"/>
          <w:sz w:val="32"/>
          <w:szCs w:val="32"/>
        </w:rPr>
        <w:t> </w:t>
      </w:r>
      <w:bookmarkStart w:id="78" w:name="_Toc36025660"/>
      <w:bookmarkStart w:id="79" w:name="_Toc36025684"/>
      <w:bookmarkStart w:id="80" w:name="_Toc36025846"/>
      <w:bookmarkStart w:id="81" w:name="_Toc36027092"/>
      <w:r w:rsidR="006B7F21" w:rsidRPr="00065F52">
        <w:rPr>
          <w:rFonts w:ascii="仿宋_GB2312" w:eastAsia="仿宋_GB2312" w:hAnsi="宋体" w:hint="eastAsia"/>
          <w:bCs/>
          <w:sz w:val="32"/>
          <w:szCs w:val="32"/>
        </w:rPr>
        <w:t>2.实体性问题</w:t>
      </w:r>
      <w:bookmarkEnd w:id="78"/>
      <w:bookmarkEnd w:id="79"/>
      <w:bookmarkEnd w:id="80"/>
      <w:bookmarkEnd w:id="81"/>
      <w:r w:rsidRPr="00065F52">
        <w:rPr>
          <w:rFonts w:ascii="仿宋_GB2312" w:eastAsia="仿宋_GB2312" w:hAnsi="宋体" w:hint="eastAsia"/>
          <w:bCs/>
          <w:sz w:val="32"/>
          <w:szCs w:val="32"/>
        </w:rPr>
        <w:t>：</w:t>
      </w:r>
      <w:proofErr w:type="gramStart"/>
      <w:r w:rsidRPr="00065F52">
        <w:rPr>
          <w:rFonts w:ascii="仿宋_GB2312" w:eastAsia="仿宋_GB2312" w:hAnsi="宋体" w:hint="eastAsia"/>
          <w:bCs/>
          <w:sz w:val="32"/>
          <w:szCs w:val="32"/>
        </w:rPr>
        <w:t>包括</w:t>
      </w:r>
      <w:r w:rsidR="006B7F21" w:rsidRPr="00065F52">
        <w:rPr>
          <w:rFonts w:ascii="仿宋_GB2312" w:eastAsia="仿宋_GB2312" w:hAnsi="宋体" w:hint="eastAsia"/>
          <w:bCs/>
          <w:sz w:val="32"/>
          <w:szCs w:val="32"/>
        </w:rPr>
        <w:t>案</w:t>
      </w:r>
      <w:proofErr w:type="gramEnd"/>
      <w:r w:rsidR="006B7F21" w:rsidRPr="00065F52">
        <w:rPr>
          <w:rFonts w:ascii="仿宋_GB2312" w:eastAsia="仿宋_GB2312" w:hAnsi="宋体" w:hint="eastAsia"/>
          <w:bCs/>
          <w:sz w:val="32"/>
          <w:szCs w:val="32"/>
        </w:rPr>
        <w:t>外人对不动产主张权利排除执行的审查</w:t>
      </w:r>
      <w:r w:rsidRPr="00065F52">
        <w:rPr>
          <w:rFonts w:ascii="仿宋_GB2312" w:eastAsia="仿宋_GB2312" w:hAnsi="宋体" w:hint="eastAsia"/>
          <w:bCs/>
          <w:sz w:val="32"/>
          <w:szCs w:val="32"/>
        </w:rPr>
        <w:t>，</w:t>
      </w:r>
      <w:r w:rsidR="006B7F21" w:rsidRPr="00065F52">
        <w:rPr>
          <w:rFonts w:ascii="仿宋_GB2312" w:eastAsia="仿宋_GB2312" w:hAnsi="宋体" w:hint="eastAsia"/>
          <w:sz w:val="32"/>
          <w:szCs w:val="32"/>
        </w:rPr>
        <w:t>不动产预约合同</w:t>
      </w:r>
      <w:r w:rsidRPr="00065F52">
        <w:rPr>
          <w:rFonts w:ascii="仿宋_GB2312" w:eastAsia="仿宋_GB2312" w:hAnsi="宋体" w:hint="eastAsia"/>
          <w:sz w:val="32"/>
          <w:szCs w:val="32"/>
        </w:rPr>
        <w:t>、</w:t>
      </w:r>
      <w:r w:rsidR="006B7F21" w:rsidRPr="00065F52">
        <w:rPr>
          <w:rFonts w:ascii="仿宋_GB2312" w:eastAsia="仿宋_GB2312" w:hAnsi="宋体" w:hint="eastAsia"/>
          <w:bCs/>
          <w:sz w:val="32"/>
          <w:szCs w:val="32"/>
        </w:rPr>
        <w:t>预告登记人</w:t>
      </w:r>
      <w:proofErr w:type="gramStart"/>
      <w:r w:rsidR="006B7F21" w:rsidRPr="00065F52">
        <w:rPr>
          <w:rFonts w:ascii="仿宋_GB2312" w:eastAsia="仿宋_GB2312" w:hAnsi="宋体" w:hint="eastAsia"/>
          <w:bCs/>
          <w:sz w:val="32"/>
          <w:szCs w:val="32"/>
        </w:rPr>
        <w:t>或网签人</w:t>
      </w:r>
      <w:proofErr w:type="gramEnd"/>
      <w:r w:rsidR="006B7F21" w:rsidRPr="00065F52">
        <w:rPr>
          <w:rFonts w:ascii="仿宋_GB2312" w:eastAsia="仿宋_GB2312" w:hAnsi="宋体" w:hint="eastAsia"/>
          <w:bCs/>
          <w:sz w:val="32"/>
          <w:szCs w:val="32"/>
        </w:rPr>
        <w:t>对抗执行</w:t>
      </w:r>
      <w:r w:rsidRPr="00065F52">
        <w:rPr>
          <w:rFonts w:ascii="仿宋_GB2312" w:eastAsia="仿宋_GB2312" w:hAnsi="宋体" w:hint="eastAsia"/>
          <w:bCs/>
          <w:sz w:val="32"/>
          <w:szCs w:val="32"/>
        </w:rPr>
        <w:t>，</w:t>
      </w:r>
      <w:r w:rsidR="006B7F21" w:rsidRPr="00065F52">
        <w:rPr>
          <w:rFonts w:ascii="仿宋_GB2312" w:eastAsia="仿宋_GB2312" w:hAnsi="宋体" w:hint="eastAsia"/>
          <w:sz w:val="32"/>
          <w:szCs w:val="32"/>
        </w:rPr>
        <w:t>借名买房</w:t>
      </w:r>
      <w:r w:rsidRPr="00065F52">
        <w:rPr>
          <w:rFonts w:ascii="仿宋_GB2312" w:eastAsia="仿宋_GB2312" w:hAnsi="宋体" w:hint="eastAsia"/>
          <w:sz w:val="32"/>
          <w:szCs w:val="32"/>
        </w:rPr>
        <w:t>、以物抵债、共有权、被拆迁人</w:t>
      </w:r>
      <w:r w:rsidR="006B7F21" w:rsidRPr="00065F52">
        <w:rPr>
          <w:rFonts w:ascii="仿宋_GB2312" w:eastAsia="仿宋_GB2312" w:hAnsi="宋体" w:hint="eastAsia"/>
          <w:sz w:val="32"/>
          <w:szCs w:val="32"/>
        </w:rPr>
        <w:t>对抗执行</w:t>
      </w:r>
      <w:r w:rsidRPr="00065F52">
        <w:rPr>
          <w:rFonts w:ascii="仿宋_GB2312" w:eastAsia="仿宋_GB2312" w:hAnsi="宋体" w:hint="eastAsia"/>
          <w:sz w:val="32"/>
          <w:szCs w:val="32"/>
        </w:rPr>
        <w:t>，</w:t>
      </w:r>
      <w:r w:rsidR="006B7F21" w:rsidRPr="00065F52">
        <w:rPr>
          <w:rFonts w:ascii="仿宋_GB2312" w:eastAsia="仿宋_GB2312" w:hAnsi="宋体" w:hint="eastAsia"/>
          <w:sz w:val="32"/>
          <w:szCs w:val="32"/>
        </w:rPr>
        <w:t>建设工程价款优先受偿权、担保物权对抗执行</w:t>
      </w:r>
      <w:r w:rsidRPr="00065F52">
        <w:rPr>
          <w:rFonts w:ascii="仿宋_GB2312" w:eastAsia="仿宋_GB2312" w:hAnsi="宋体" w:hint="eastAsia"/>
          <w:sz w:val="32"/>
          <w:szCs w:val="32"/>
        </w:rPr>
        <w:t>及</w:t>
      </w:r>
      <w:r w:rsidR="006B7F21" w:rsidRPr="00065F52">
        <w:rPr>
          <w:rFonts w:ascii="仿宋_GB2312" w:eastAsia="仿宋_GB2312" w:hAnsi="宋体" w:hint="eastAsia"/>
          <w:sz w:val="32"/>
          <w:szCs w:val="32"/>
        </w:rPr>
        <w:t>承租人对抗执行</w:t>
      </w:r>
      <w:r w:rsidRPr="00065F52">
        <w:rPr>
          <w:rFonts w:ascii="仿宋_GB2312" w:eastAsia="仿宋_GB2312" w:hAnsi="宋体" w:hint="eastAsia"/>
          <w:sz w:val="32"/>
          <w:szCs w:val="32"/>
        </w:rPr>
        <w:t>等。</w:t>
      </w:r>
    </w:p>
    <w:p w:rsidR="006B7F21" w:rsidRPr="00065F52" w:rsidRDefault="006B7F21" w:rsidP="0068488C">
      <w:pPr>
        <w:keepNext/>
        <w:keepLines/>
        <w:spacing w:line="416" w:lineRule="auto"/>
        <w:ind w:firstLineChars="200" w:firstLine="640"/>
        <w:outlineLvl w:val="1"/>
        <w:rPr>
          <w:rFonts w:ascii="楷体_GB2312" w:eastAsia="楷体_GB2312" w:hAnsi="宋体"/>
          <w:bCs/>
          <w:sz w:val="32"/>
          <w:szCs w:val="32"/>
        </w:rPr>
      </w:pPr>
      <w:bookmarkStart w:id="82" w:name="_Toc36027093"/>
      <w:r w:rsidRPr="00065F52">
        <w:rPr>
          <w:rFonts w:ascii="楷体_GB2312" w:eastAsia="楷体_GB2312" w:hAnsi="宋体" w:hint="eastAsia"/>
          <w:bCs/>
          <w:sz w:val="32"/>
          <w:szCs w:val="32"/>
        </w:rPr>
        <w:t>（三）执行异议与执行异议之诉中的虚假诉讼问题</w:t>
      </w:r>
      <w:bookmarkEnd w:id="82"/>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执行异议与执行异议之</w:t>
      </w:r>
      <w:proofErr w:type="gramStart"/>
      <w:r w:rsidRPr="00065F52">
        <w:rPr>
          <w:rFonts w:ascii="仿宋_GB2312" w:eastAsia="仿宋_GB2312" w:hAnsi="宋体" w:hint="eastAsia"/>
          <w:sz w:val="32"/>
          <w:szCs w:val="32"/>
        </w:rPr>
        <w:t>诉不同</w:t>
      </w:r>
      <w:proofErr w:type="gramEnd"/>
      <w:r w:rsidRPr="00065F52">
        <w:rPr>
          <w:rFonts w:ascii="仿宋_GB2312" w:eastAsia="仿宋_GB2312" w:hAnsi="宋体" w:hint="eastAsia"/>
          <w:sz w:val="32"/>
          <w:szCs w:val="32"/>
        </w:rPr>
        <w:t>于一般民事诉讼的显著之处在于其诉讼主体为三方当事人：申请执行人、被执行人及案外人。申请执行人通过诉讼或仲裁程序取得执行依据，为实现自己的债权耗费大量的精力、财力、物力等。但在实现债权受偿的过程中，因案外人对执行标的主张实体权利，而导致申请执行人已经取得的债权不能得到受偿。因此，</w:t>
      </w:r>
      <w:proofErr w:type="gramStart"/>
      <w:r w:rsidRPr="00065F52">
        <w:rPr>
          <w:rFonts w:ascii="仿宋_GB2312" w:eastAsia="仿宋_GB2312" w:hAnsi="宋体" w:hint="eastAsia"/>
          <w:sz w:val="32"/>
          <w:szCs w:val="32"/>
        </w:rPr>
        <w:t>对于案</w:t>
      </w:r>
      <w:proofErr w:type="gramEnd"/>
      <w:r w:rsidRPr="00065F52">
        <w:rPr>
          <w:rFonts w:ascii="仿宋_GB2312" w:eastAsia="仿宋_GB2312" w:hAnsi="宋体" w:hint="eastAsia"/>
          <w:sz w:val="32"/>
          <w:szCs w:val="32"/>
        </w:rPr>
        <w:t>外人异议的审查应当慎之又慎，从严把握，</w:t>
      </w:r>
      <w:proofErr w:type="gramStart"/>
      <w:r w:rsidRPr="00065F52">
        <w:rPr>
          <w:rFonts w:ascii="仿宋_GB2312" w:eastAsia="仿宋_GB2312" w:hAnsi="宋体" w:hint="eastAsia"/>
          <w:sz w:val="32"/>
          <w:szCs w:val="32"/>
        </w:rPr>
        <w:t>防止案</w:t>
      </w:r>
      <w:proofErr w:type="gramEnd"/>
      <w:r w:rsidRPr="00065F52">
        <w:rPr>
          <w:rFonts w:ascii="仿宋_GB2312" w:eastAsia="仿宋_GB2312" w:hAnsi="宋体" w:hint="eastAsia"/>
          <w:sz w:val="32"/>
          <w:szCs w:val="32"/>
        </w:rPr>
        <w:t>外人与被执行人之间恶意串通，以虚假诉讼规避执行、拖延执行。</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根据2017年至2019年期间，青岛中院执行异议与执行异议之诉案件的审查样本分析，执行异议经过实体审查获得支持的比例为49%和47%，即在审判实践中，有近五成的案件达不到排除执行的标准而不能排除执行行为。在这部分案件中，法官在审理过程中，很大比例被心证为虚假诉讼。但是由于执行异议之诉案件属于民事案件，拘囿于证据审查、不告不理、自认规则等民事审查原则，即使被心证为虚假诉讼案件，仍难以明确予以认定。案外人执行异议中的虚假诉讼问题已经呈蔓延溃决之势，因此，如何从制度上对虚假诉讼问题进行认定并规制，需要引起重视。</w:t>
      </w:r>
    </w:p>
    <w:p w:rsidR="006B7F21" w:rsidRPr="00065F52" w:rsidRDefault="006B7F21" w:rsidP="0068488C">
      <w:pPr>
        <w:keepNext/>
        <w:keepLines/>
        <w:spacing w:line="416" w:lineRule="auto"/>
        <w:ind w:firstLineChars="200" w:firstLine="640"/>
        <w:outlineLvl w:val="1"/>
        <w:rPr>
          <w:rFonts w:ascii="楷体_GB2312" w:eastAsia="楷体_GB2312" w:hAnsi="宋体"/>
          <w:bCs/>
          <w:sz w:val="32"/>
          <w:szCs w:val="32"/>
        </w:rPr>
      </w:pPr>
      <w:bookmarkStart w:id="83" w:name="_Toc36027094"/>
      <w:r w:rsidRPr="00065F52">
        <w:rPr>
          <w:rFonts w:ascii="楷体_GB2312" w:eastAsia="楷体_GB2312" w:hAnsi="宋体" w:hint="eastAsia"/>
          <w:bCs/>
          <w:sz w:val="32"/>
          <w:szCs w:val="32"/>
        </w:rPr>
        <w:lastRenderedPageBreak/>
        <w:t>（四）执行异议与执行异议之诉对执行效率的影响</w:t>
      </w:r>
      <w:bookmarkEnd w:id="83"/>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司法实践中，在执行程序中提出执行实体异议的比例已经超过30%。执行异议之</w:t>
      </w:r>
      <w:proofErr w:type="gramStart"/>
      <w:r w:rsidRPr="00065F52">
        <w:rPr>
          <w:rFonts w:ascii="仿宋_GB2312" w:eastAsia="仿宋_GB2312" w:hAnsi="宋体" w:hint="eastAsia"/>
          <w:sz w:val="32"/>
          <w:szCs w:val="32"/>
        </w:rPr>
        <w:t>诉设立</w:t>
      </w:r>
      <w:proofErr w:type="gramEnd"/>
      <w:r w:rsidRPr="00065F52">
        <w:rPr>
          <w:rFonts w:ascii="仿宋_GB2312" w:eastAsia="仿宋_GB2312" w:hAnsi="宋体" w:hint="eastAsia"/>
          <w:sz w:val="32"/>
          <w:szCs w:val="32"/>
        </w:rPr>
        <w:t>的初衷是为了保护案外人的</w:t>
      </w:r>
      <w:proofErr w:type="gramStart"/>
      <w:r w:rsidRPr="00065F52">
        <w:rPr>
          <w:rFonts w:ascii="仿宋_GB2312" w:eastAsia="仿宋_GB2312" w:hAnsi="宋体" w:hint="eastAsia"/>
          <w:sz w:val="32"/>
          <w:szCs w:val="32"/>
        </w:rPr>
        <w:t>的</w:t>
      </w:r>
      <w:proofErr w:type="gramEnd"/>
      <w:r w:rsidRPr="00065F52">
        <w:rPr>
          <w:rFonts w:ascii="仿宋_GB2312" w:eastAsia="仿宋_GB2312" w:hAnsi="宋体" w:hint="eastAsia"/>
          <w:sz w:val="32"/>
          <w:szCs w:val="32"/>
        </w:rPr>
        <w:t>合法权益不受侵害。但该项制度设立之后，案外人的实体异议导致执行程序处于停滞状态，对执行效率的影响非常明显。执行异议之诉在程序上适用一裁两审的诉讼程序，在诉讼过程中仅能适用普通程序，本身审理周期就相对一般民事案件较长，而被执行人进入执行异议之诉的诉讼程序后，经常处于下落不明的状态，需要进行公告送达，造成审判周期进一步延长。而且，执行异议之</w:t>
      </w:r>
      <w:proofErr w:type="gramStart"/>
      <w:r w:rsidRPr="00065F52">
        <w:rPr>
          <w:rFonts w:ascii="仿宋_GB2312" w:eastAsia="仿宋_GB2312" w:hAnsi="宋体" w:hint="eastAsia"/>
          <w:sz w:val="32"/>
          <w:szCs w:val="32"/>
        </w:rPr>
        <w:t>诉本身</w:t>
      </w:r>
      <w:proofErr w:type="gramEnd"/>
      <w:r w:rsidRPr="00065F52">
        <w:rPr>
          <w:rFonts w:ascii="仿宋_GB2312" w:eastAsia="仿宋_GB2312" w:hAnsi="宋体" w:hint="eastAsia"/>
          <w:sz w:val="32"/>
          <w:szCs w:val="32"/>
        </w:rPr>
        <w:t>属于三方博弈，法律关系较一般民事案件更为复杂，利益冲突更加尖锐，又有自成体系的裁判规则，需要依据裁判规则进行的事实审查内容更为详尽。因此，普遍存在审判周期较长的问题。而执行程序由于执行异议的中断，导致整个执行周期变得冗长。执行异议之诉审判周期与执行效率之间的矛盾在实践中已经日渐突出，成为亟待处理的问题。</w:t>
      </w: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B7F21">
      <w:pPr>
        <w:spacing w:line="560" w:lineRule="exact"/>
        <w:ind w:firstLineChars="200" w:firstLine="640"/>
        <w:rPr>
          <w:rFonts w:ascii="仿宋_GB2312" w:eastAsia="仿宋_GB2312" w:hAnsi="宋体"/>
          <w:sz w:val="32"/>
          <w:szCs w:val="32"/>
        </w:rPr>
      </w:pPr>
    </w:p>
    <w:p w:rsidR="006B7F21" w:rsidRPr="00065F52" w:rsidRDefault="006B7F21" w:rsidP="00682A8E">
      <w:pPr>
        <w:keepNext/>
        <w:keepLines/>
        <w:spacing w:line="578" w:lineRule="auto"/>
        <w:ind w:firstLineChars="200" w:firstLine="640"/>
        <w:outlineLvl w:val="0"/>
        <w:rPr>
          <w:rFonts w:ascii="黑体" w:eastAsia="黑体" w:hAnsi="黑体"/>
          <w:bCs/>
          <w:kern w:val="44"/>
          <w:sz w:val="32"/>
          <w:szCs w:val="32"/>
        </w:rPr>
      </w:pPr>
      <w:bookmarkStart w:id="84" w:name="_Toc36025661"/>
      <w:bookmarkStart w:id="85" w:name="_Toc36025685"/>
      <w:bookmarkStart w:id="86" w:name="_Toc36025847"/>
      <w:bookmarkStart w:id="87" w:name="_Toc36027095"/>
      <w:r w:rsidRPr="00065F52">
        <w:rPr>
          <w:rFonts w:ascii="黑体" w:eastAsia="黑体" w:hAnsi="黑体" w:hint="eastAsia"/>
          <w:bCs/>
          <w:kern w:val="44"/>
          <w:sz w:val="32"/>
          <w:szCs w:val="32"/>
        </w:rPr>
        <w:lastRenderedPageBreak/>
        <w:t>四、关于执行异议与执行异议之诉裁判的对策与建议</w:t>
      </w:r>
      <w:bookmarkEnd w:id="84"/>
      <w:bookmarkEnd w:id="85"/>
      <w:bookmarkEnd w:id="86"/>
      <w:bookmarkEnd w:id="87"/>
    </w:p>
    <w:p w:rsidR="006B7F21" w:rsidRPr="00065F52" w:rsidRDefault="006B7F21" w:rsidP="006B7F21">
      <w:pPr>
        <w:keepNext/>
        <w:keepLines/>
        <w:spacing w:line="416" w:lineRule="auto"/>
        <w:ind w:firstLineChars="200" w:firstLine="640"/>
        <w:outlineLvl w:val="1"/>
        <w:rPr>
          <w:rFonts w:ascii="楷体_GB2312" w:eastAsia="楷体_GB2312" w:hAnsi="宋体"/>
          <w:bCs/>
          <w:sz w:val="32"/>
          <w:szCs w:val="32"/>
        </w:rPr>
      </w:pPr>
      <w:bookmarkStart w:id="88" w:name="_Toc36025662"/>
      <w:bookmarkStart w:id="89" w:name="_Toc36025686"/>
      <w:bookmarkStart w:id="90" w:name="_Toc36025848"/>
      <w:bookmarkStart w:id="91" w:name="_Toc36027096"/>
      <w:r w:rsidRPr="00065F52">
        <w:rPr>
          <w:rFonts w:ascii="楷体_GB2312" w:eastAsia="楷体_GB2312" w:hAnsi="宋体" w:hint="eastAsia"/>
          <w:bCs/>
          <w:sz w:val="32"/>
          <w:szCs w:val="32"/>
        </w:rPr>
        <w:t>（一）完善裁判标准统一机制</w:t>
      </w:r>
      <w:bookmarkEnd w:id="88"/>
      <w:bookmarkEnd w:id="89"/>
      <w:bookmarkEnd w:id="90"/>
      <w:bookmarkEnd w:id="91"/>
    </w:p>
    <w:p w:rsidR="00682A8E" w:rsidRDefault="006B7F21" w:rsidP="00682A8E">
      <w:pPr>
        <w:spacing w:line="560" w:lineRule="exact"/>
        <w:ind w:left="640"/>
        <w:rPr>
          <w:rFonts w:ascii="仿宋_GB2312" w:eastAsia="仿宋_GB2312" w:hAnsi="宋体"/>
          <w:sz w:val="32"/>
          <w:szCs w:val="32"/>
        </w:rPr>
      </w:pPr>
      <w:r w:rsidRPr="00065F52">
        <w:rPr>
          <w:rFonts w:ascii="仿宋_GB2312" w:eastAsia="仿宋_GB2312" w:hAnsi="宋体" w:hint="eastAsia"/>
          <w:sz w:val="32"/>
          <w:szCs w:val="32"/>
        </w:rPr>
        <w:t>1.青岛中院民一庭与执一庭建立的联席会议机制</w:t>
      </w:r>
    </w:p>
    <w:p w:rsidR="006B7F21" w:rsidRPr="00065F52" w:rsidRDefault="006B7F21" w:rsidP="00682A8E">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执行异议之</w:t>
      </w:r>
      <w:proofErr w:type="gramStart"/>
      <w:r w:rsidRPr="00065F52">
        <w:rPr>
          <w:rFonts w:ascii="仿宋_GB2312" w:eastAsia="仿宋_GB2312" w:hAnsi="宋体" w:hint="eastAsia"/>
          <w:sz w:val="32"/>
          <w:szCs w:val="32"/>
        </w:rPr>
        <w:t>诉采取</w:t>
      </w:r>
      <w:proofErr w:type="gramEnd"/>
      <w:r w:rsidRPr="00065F52">
        <w:rPr>
          <w:rFonts w:ascii="仿宋_GB2312" w:eastAsia="仿宋_GB2312" w:hAnsi="宋体" w:hint="eastAsia"/>
          <w:sz w:val="32"/>
          <w:szCs w:val="32"/>
        </w:rPr>
        <w:t>一裁两审的诉讼模式，诉讼过程需先经过执行一庭的执行审查程序，当事人对执行裁决不服的，可以在法定期限内提起执行异议之诉。执行异议之诉在审判实践中的新问题不断涌现，且由于执行措施所针对的执行标的往往具有集中性，如某被执行人名下开发的同一小区内全部房产均被查封的情况，群体性案件的高发趋势已经较为明显。因此，面对执行异议之诉中的各类问题，执行一庭与民一庭应定期召开联席会议，及时沟通审判实践中出现的各类问题，做好裁判尺度统一工作及特殊案件预警工作等。联席会议每季度召开一次，遇到特殊情况需要即时沟通的，可立即联系召开。</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2.定期汇总裁判尺度形成会议纪要</w:t>
      </w:r>
    </w:p>
    <w:p w:rsidR="006B7F21" w:rsidRPr="00065F52" w:rsidRDefault="006B7F21" w:rsidP="00682A8E">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裁判尺度统一问题，是司法审判中极为重要的问题。民商事案件的裁判结果，是法官根据案件查明的法律事实，根据法律相应规定做出的认定。法律在广义上属于社会学科。一个案件的裁判结果涉及法官对案件事实的认定、对裁判结果的认知。案件审理过程中，会受到法官个人工作经验、生活经验、知识积累、认知水平、理解能力等诸多方面的影响。而对于同一问题的认识，在法理层面上也会存在不同的理解和不同的解决路径，因此，司法实践中同案不同判的情况时常存在。但是同类案件出现不同的裁量结果，会对司法的权</w:t>
      </w:r>
      <w:r w:rsidRPr="00065F52">
        <w:rPr>
          <w:rFonts w:ascii="仿宋_GB2312" w:eastAsia="仿宋_GB2312" w:hAnsi="宋体" w:hint="eastAsia"/>
          <w:sz w:val="32"/>
          <w:szCs w:val="32"/>
        </w:rPr>
        <w:lastRenderedPageBreak/>
        <w:t>威性构成损害，尤其是同一个案件在不同程序中做出不同的认定，更会使当事人产生疑惑。</w:t>
      </w:r>
    </w:p>
    <w:p w:rsidR="006B7F21" w:rsidRPr="00065F52" w:rsidRDefault="006B7F21" w:rsidP="00254308">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执行异议之诉在审查过程中涉及到执行中的执行审查程序和执行异议之诉程序。根据现有的诉讼程序规定，执行部门的执行审查程序以形式审查为主，审判部门的审查标准则以实体审查为主，但无论是形式审查还是实体审查，对同一类型的执行异议之诉必须统一审查标准，明确裁判尺度。尤其是执行异议之诉中的各类新型案件较多，民一庭与执行一庭在定期召开联席会议的基础上，对执行异议之诉中的各类问题集中汇总研讨，对于每次联席会议达成的一致意见，形成会议纪要，统一裁判尺度。</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3.建立执行异议之</w:t>
      </w:r>
      <w:proofErr w:type="gramStart"/>
      <w:r w:rsidRPr="00065F52">
        <w:rPr>
          <w:rFonts w:ascii="仿宋_GB2312" w:eastAsia="仿宋_GB2312" w:hAnsi="宋体" w:hint="eastAsia"/>
          <w:sz w:val="32"/>
          <w:szCs w:val="32"/>
        </w:rPr>
        <w:t>诉典型</w:t>
      </w:r>
      <w:proofErr w:type="gramEnd"/>
      <w:r w:rsidRPr="00065F52">
        <w:rPr>
          <w:rFonts w:ascii="仿宋_GB2312" w:eastAsia="仿宋_GB2312" w:hAnsi="宋体" w:hint="eastAsia"/>
          <w:sz w:val="32"/>
          <w:szCs w:val="32"/>
        </w:rPr>
        <w:t>案例库</w:t>
      </w:r>
    </w:p>
    <w:p w:rsidR="006B7F21" w:rsidRPr="00065F52" w:rsidRDefault="006B7F21" w:rsidP="006B7F21">
      <w:pPr>
        <w:spacing w:line="560" w:lineRule="exact"/>
        <w:rPr>
          <w:rFonts w:ascii="仿宋_GB2312" w:eastAsia="仿宋_GB2312" w:hAnsi="宋体"/>
          <w:sz w:val="32"/>
          <w:szCs w:val="32"/>
        </w:rPr>
      </w:pPr>
      <w:r w:rsidRPr="00065F52">
        <w:rPr>
          <w:rFonts w:ascii="仿宋_GB2312" w:eastAsia="仿宋_GB2312" w:hAnsi="宋体" w:hint="eastAsia"/>
          <w:sz w:val="32"/>
          <w:szCs w:val="32"/>
        </w:rPr>
        <w:t xml:space="preserve">    会议纪要的形成，对于统一案件裁判尺度具有重大的作用，但会议纪要的阐述方式与法律规定的形式基本一致，仍然存在叙述抽象性的问题，法官在适用过程中再行解读理解，仍可能会出现理解的偏差。而司法案例则可以鲜活、清晰、具体的体现法官对案件的裁判过程、对裁判标准的把握。因此，典型案例的整理工作，对于避免出现同案不同判的情况具有积极的补充作用。执行异议之诉的审理仍然处于探索发展的阶段，虽然各类司法解释、会议纪要等多有规定，但在裁判过程中对于裁判标准的适用仍不统一。因此，对于执行异议之诉案件中裁判标准已经明确的案件类型，应及时建立典型案件案例库，加强以案释法的司法功能，定期发布典型案例，确保裁判尺度适用的同一性。</w:t>
      </w:r>
    </w:p>
    <w:p w:rsidR="006B7F21" w:rsidRPr="00065F52" w:rsidRDefault="006B7F21" w:rsidP="006B7F21">
      <w:pPr>
        <w:keepNext/>
        <w:keepLines/>
        <w:spacing w:line="416" w:lineRule="auto"/>
        <w:ind w:firstLineChars="200" w:firstLine="640"/>
        <w:outlineLvl w:val="1"/>
        <w:rPr>
          <w:rFonts w:ascii="楷体_GB2312" w:eastAsia="楷体_GB2312" w:hAnsi="宋体"/>
          <w:bCs/>
          <w:color w:val="000000"/>
          <w:sz w:val="32"/>
          <w:szCs w:val="32"/>
        </w:rPr>
      </w:pPr>
      <w:bookmarkStart w:id="92" w:name="_Toc36025663"/>
      <w:bookmarkStart w:id="93" w:name="_Toc36025687"/>
      <w:bookmarkStart w:id="94" w:name="_Toc36025849"/>
      <w:bookmarkStart w:id="95" w:name="_Toc36027097"/>
      <w:r w:rsidRPr="00065F52">
        <w:rPr>
          <w:rFonts w:ascii="楷体_GB2312" w:eastAsia="楷体_GB2312" w:hAnsi="宋体" w:hint="eastAsia"/>
          <w:bCs/>
          <w:color w:val="000000"/>
          <w:sz w:val="32"/>
          <w:szCs w:val="32"/>
        </w:rPr>
        <w:lastRenderedPageBreak/>
        <w:t>（二）推进立审</w:t>
      </w:r>
      <w:proofErr w:type="gramStart"/>
      <w:r w:rsidRPr="00065F52">
        <w:rPr>
          <w:rFonts w:ascii="楷体_GB2312" w:eastAsia="楷体_GB2312" w:hAnsi="宋体" w:hint="eastAsia"/>
          <w:bCs/>
          <w:color w:val="000000"/>
          <w:sz w:val="32"/>
          <w:szCs w:val="32"/>
        </w:rPr>
        <w:t>执协调</w:t>
      </w:r>
      <w:proofErr w:type="gramEnd"/>
      <w:r w:rsidRPr="00065F52">
        <w:rPr>
          <w:rFonts w:ascii="楷体_GB2312" w:eastAsia="楷体_GB2312" w:hAnsi="宋体" w:hint="eastAsia"/>
          <w:bCs/>
          <w:color w:val="000000"/>
          <w:sz w:val="32"/>
          <w:szCs w:val="32"/>
        </w:rPr>
        <w:t>配合机制</w:t>
      </w:r>
      <w:bookmarkEnd w:id="92"/>
      <w:bookmarkEnd w:id="93"/>
      <w:bookmarkEnd w:id="94"/>
      <w:bookmarkEnd w:id="95"/>
    </w:p>
    <w:p w:rsidR="006B7F21" w:rsidRPr="00065F52" w:rsidRDefault="006B7F21" w:rsidP="006B7F21">
      <w:pPr>
        <w:spacing w:line="560" w:lineRule="exact"/>
        <w:ind w:firstLineChars="200" w:firstLine="640"/>
        <w:rPr>
          <w:rFonts w:ascii="仿宋_GB2312" w:eastAsia="仿宋_GB2312" w:hAnsi="宋体"/>
          <w:color w:val="000000"/>
          <w:sz w:val="32"/>
          <w:szCs w:val="32"/>
        </w:rPr>
      </w:pPr>
      <w:r w:rsidRPr="00065F52">
        <w:rPr>
          <w:rFonts w:ascii="仿宋_GB2312" w:eastAsia="仿宋_GB2312" w:hAnsi="宋体" w:hint="eastAsia"/>
          <w:color w:val="000000"/>
          <w:sz w:val="32"/>
          <w:szCs w:val="32"/>
        </w:rPr>
        <w:t>首先，应保证立案、审判、执行信息共享、信息对称。无论保全标的是在立案、审判还是执行阶段被采取保全措施，应实现保全申请与执行查控系统的信息共享和有序衔接。</w:t>
      </w:r>
    </w:p>
    <w:p w:rsidR="006B7F21" w:rsidRPr="00065F52" w:rsidRDefault="006B7F21" w:rsidP="006B7F21">
      <w:pPr>
        <w:spacing w:line="560" w:lineRule="exact"/>
        <w:ind w:firstLineChars="200" w:firstLine="640"/>
        <w:rPr>
          <w:rFonts w:ascii="仿宋_GB2312" w:eastAsia="仿宋_GB2312" w:hAnsi="宋体"/>
          <w:color w:val="000000"/>
          <w:sz w:val="32"/>
          <w:szCs w:val="32"/>
        </w:rPr>
      </w:pPr>
      <w:r w:rsidRPr="00065F52">
        <w:rPr>
          <w:rFonts w:ascii="仿宋_GB2312" w:eastAsia="仿宋_GB2312" w:hAnsi="宋体" w:hint="eastAsia"/>
          <w:color w:val="000000"/>
          <w:sz w:val="32"/>
          <w:szCs w:val="32"/>
        </w:rPr>
        <w:t>其次，在提高保全工作及时性的同时，也要保证保全工作的有效性。执行异议之诉的形成系由于被执行标的</w:t>
      </w:r>
      <w:proofErr w:type="gramStart"/>
      <w:r w:rsidRPr="00065F52">
        <w:rPr>
          <w:rFonts w:ascii="仿宋_GB2312" w:eastAsia="仿宋_GB2312" w:hAnsi="宋体" w:hint="eastAsia"/>
          <w:color w:val="000000"/>
          <w:sz w:val="32"/>
          <w:szCs w:val="32"/>
        </w:rPr>
        <w:t>的</w:t>
      </w:r>
      <w:proofErr w:type="gramEnd"/>
      <w:r w:rsidRPr="00065F52">
        <w:rPr>
          <w:rFonts w:ascii="仿宋_GB2312" w:eastAsia="仿宋_GB2312" w:hAnsi="宋体" w:hint="eastAsia"/>
          <w:color w:val="000000"/>
          <w:sz w:val="32"/>
          <w:szCs w:val="32"/>
        </w:rPr>
        <w:t>公示占有形式与实际权利所有的情况不一致而产生的。为避免这种情况的发生，保全部门在采取保全措施时应对被保全标的物的实际占有情况进行审查，不能仅仅依据行政部门的物权登记或备案情况判断保全标的是否能够采取保全措施。尤其是对不动产的查封，涉及到案外人的切身基本居住利益，不能仅仅依赖于查封系统的物权登记情况，仅对物权登记进行查封，还应当到不动产所在地审查不动产的实际占有情况，采取在不动产所在地张贴公告或采取封条查封的形式。以便于实际权利人在诉讼阶段就可及时发现权利受到侵害，及时提出执行异议，防止进入执行处置阶段再发生纠纷，导致执行程序中断，浪费诉讼成本，影响执行效率。对于存在纠纷的保全标的，要及时向申请保全</w:t>
      </w:r>
      <w:proofErr w:type="gramStart"/>
      <w:r w:rsidRPr="00065F52">
        <w:rPr>
          <w:rFonts w:ascii="仿宋_GB2312" w:eastAsia="仿宋_GB2312" w:hAnsi="宋体" w:hint="eastAsia"/>
          <w:color w:val="000000"/>
          <w:sz w:val="32"/>
          <w:szCs w:val="32"/>
        </w:rPr>
        <w:t>人释明采取</w:t>
      </w:r>
      <w:proofErr w:type="gramEnd"/>
      <w:r w:rsidRPr="00065F52">
        <w:rPr>
          <w:rFonts w:ascii="仿宋_GB2312" w:eastAsia="仿宋_GB2312" w:hAnsi="宋体" w:hint="eastAsia"/>
          <w:color w:val="000000"/>
          <w:sz w:val="32"/>
          <w:szCs w:val="32"/>
        </w:rPr>
        <w:t>保全措施的法律后果，引导申请保全人查询被申请人的其他无纠纷财产。</w:t>
      </w:r>
    </w:p>
    <w:p w:rsidR="006B7F21" w:rsidRPr="00065F52" w:rsidRDefault="006B7F21" w:rsidP="006B7F21">
      <w:pPr>
        <w:spacing w:line="560" w:lineRule="exact"/>
        <w:ind w:firstLineChars="200" w:firstLine="640"/>
        <w:rPr>
          <w:rFonts w:ascii="仿宋_GB2312" w:eastAsia="仿宋_GB2312" w:hAnsi="宋体"/>
          <w:color w:val="000000"/>
          <w:sz w:val="32"/>
          <w:szCs w:val="32"/>
        </w:rPr>
      </w:pPr>
      <w:r w:rsidRPr="00065F52">
        <w:rPr>
          <w:rFonts w:ascii="仿宋_GB2312" w:eastAsia="仿宋_GB2312" w:hAnsi="宋体" w:hint="eastAsia"/>
          <w:color w:val="000000"/>
          <w:sz w:val="32"/>
          <w:szCs w:val="32"/>
        </w:rPr>
        <w:t>第三，采取保全措施的业务部门应保持</w:t>
      </w:r>
      <w:proofErr w:type="gramStart"/>
      <w:r w:rsidRPr="00065F52">
        <w:rPr>
          <w:rFonts w:ascii="仿宋_GB2312" w:eastAsia="仿宋_GB2312" w:hAnsi="宋体" w:hint="eastAsia"/>
          <w:color w:val="000000"/>
          <w:sz w:val="32"/>
          <w:szCs w:val="32"/>
        </w:rPr>
        <w:t>一惯</w:t>
      </w:r>
      <w:proofErr w:type="gramEnd"/>
      <w:r w:rsidRPr="00065F52">
        <w:rPr>
          <w:rFonts w:ascii="仿宋_GB2312" w:eastAsia="仿宋_GB2312" w:hAnsi="宋体" w:hint="eastAsia"/>
          <w:color w:val="000000"/>
          <w:sz w:val="32"/>
          <w:szCs w:val="32"/>
        </w:rPr>
        <w:t>性、统一性。立案与审判部门对于保全申请，应根据案件标的及时出具保全裁定，但对于保全裁定的执行应由执行部门统一予以实施，对于可以查封的财产种类、数量均由执行部门统一判断。对保全标的提出执行行为异议的审查程序也应当由执行部门</w:t>
      </w:r>
      <w:r w:rsidRPr="00065F52">
        <w:rPr>
          <w:rFonts w:ascii="仿宋_GB2312" w:eastAsia="仿宋_GB2312" w:hAnsi="宋体" w:hint="eastAsia"/>
          <w:color w:val="000000"/>
          <w:sz w:val="32"/>
          <w:szCs w:val="32"/>
        </w:rPr>
        <w:lastRenderedPageBreak/>
        <w:t>负责，形成执行异议之诉的则按照民诉法规定的一裁两审程序进行审查。</w:t>
      </w:r>
    </w:p>
    <w:p w:rsidR="006B7F21" w:rsidRPr="00065F52" w:rsidRDefault="006B7F21" w:rsidP="006B7F21">
      <w:pPr>
        <w:spacing w:line="560" w:lineRule="exact"/>
        <w:ind w:firstLineChars="200" w:firstLine="640"/>
        <w:rPr>
          <w:rFonts w:ascii="仿宋_GB2312" w:eastAsia="仿宋_GB2312" w:hAnsi="宋体"/>
          <w:color w:val="000000"/>
          <w:sz w:val="32"/>
          <w:szCs w:val="32"/>
        </w:rPr>
      </w:pPr>
      <w:r w:rsidRPr="00065F52">
        <w:rPr>
          <w:rFonts w:ascii="仿宋_GB2312" w:eastAsia="仿宋_GB2312" w:hAnsi="宋体" w:hint="eastAsia"/>
          <w:color w:val="000000"/>
          <w:sz w:val="32"/>
          <w:szCs w:val="32"/>
        </w:rPr>
        <w:t>第四，熟悉保全工作的相关规定，采取保全措施的执行人员对于不能采取保全措施或限制采取保全措施的财产规定应当熟知，避免在采取保全措施之后又产生保全异议或执行异议。执行部门形成定期业务交流及培训工作机制，更新执行知识储备，保障执行工作开展。</w:t>
      </w:r>
    </w:p>
    <w:p w:rsidR="006B7F21" w:rsidRPr="00065F52" w:rsidRDefault="006B7F21" w:rsidP="006B7F21">
      <w:pPr>
        <w:spacing w:line="560" w:lineRule="exact"/>
        <w:ind w:firstLineChars="200" w:firstLine="640"/>
        <w:rPr>
          <w:rFonts w:ascii="仿宋_GB2312" w:eastAsia="仿宋_GB2312" w:hAnsi="宋体"/>
          <w:color w:val="000000"/>
          <w:sz w:val="32"/>
          <w:szCs w:val="32"/>
        </w:rPr>
      </w:pPr>
      <w:r w:rsidRPr="00065F52">
        <w:rPr>
          <w:rFonts w:ascii="仿宋_GB2312" w:eastAsia="仿宋_GB2312" w:hAnsi="宋体" w:hint="eastAsia"/>
          <w:color w:val="000000"/>
          <w:sz w:val="32"/>
          <w:szCs w:val="32"/>
        </w:rPr>
        <w:t>第五，压缩审判周期，提高审判效率。加强立案、审判、执行部门的三方联动，保证执行异议之诉一裁两审的诉讼程序在法定审理期间内及时审结。鉴于执行异议之诉中，被执行人多有</w:t>
      </w:r>
      <w:proofErr w:type="gramStart"/>
      <w:r w:rsidRPr="00065F52">
        <w:rPr>
          <w:rFonts w:ascii="仿宋_GB2312" w:eastAsia="仿宋_GB2312" w:hAnsi="宋体" w:hint="eastAsia"/>
          <w:color w:val="000000"/>
          <w:sz w:val="32"/>
          <w:szCs w:val="32"/>
        </w:rPr>
        <w:t>不</w:t>
      </w:r>
      <w:proofErr w:type="gramEnd"/>
      <w:r w:rsidRPr="00065F52">
        <w:rPr>
          <w:rFonts w:ascii="仿宋_GB2312" w:eastAsia="仿宋_GB2312" w:hAnsi="宋体" w:hint="eastAsia"/>
          <w:color w:val="000000"/>
          <w:sz w:val="32"/>
          <w:szCs w:val="32"/>
        </w:rPr>
        <w:t>到庭参加诉讼的情况，为</w:t>
      </w:r>
      <w:r w:rsidR="00021E1E">
        <w:rPr>
          <w:rFonts w:ascii="仿宋_GB2312" w:eastAsia="仿宋_GB2312" w:hAnsi="宋体" w:hint="eastAsia"/>
          <w:color w:val="000000"/>
          <w:sz w:val="32"/>
          <w:szCs w:val="32"/>
        </w:rPr>
        <w:t>缓解</w:t>
      </w:r>
      <w:r w:rsidRPr="00065F52">
        <w:rPr>
          <w:rFonts w:ascii="仿宋_GB2312" w:eastAsia="仿宋_GB2312" w:hAnsi="宋体" w:hint="eastAsia"/>
          <w:color w:val="000000"/>
          <w:sz w:val="32"/>
          <w:szCs w:val="32"/>
        </w:rPr>
        <w:t>因公告期间导致诉讼周期延长问题，建议采取以下措施：1、对于在执行审查中即未到庭的被执行人，不再进行公告；2、对于被执行人在执行程序中即无法查询其下落的，由执行部门对被执行人无法查明下落的</w:t>
      </w:r>
      <w:proofErr w:type="gramStart"/>
      <w:r w:rsidRPr="00065F52">
        <w:rPr>
          <w:rFonts w:ascii="仿宋_GB2312" w:eastAsia="仿宋_GB2312" w:hAnsi="宋体" w:hint="eastAsia"/>
          <w:color w:val="000000"/>
          <w:sz w:val="32"/>
          <w:szCs w:val="32"/>
        </w:rPr>
        <w:t>情况随卷附送</w:t>
      </w:r>
      <w:proofErr w:type="gramEnd"/>
      <w:r w:rsidRPr="00065F52">
        <w:rPr>
          <w:rFonts w:ascii="仿宋_GB2312" w:eastAsia="仿宋_GB2312" w:hAnsi="宋体" w:hint="eastAsia"/>
          <w:color w:val="000000"/>
          <w:sz w:val="32"/>
          <w:szCs w:val="32"/>
        </w:rPr>
        <w:t>说明，执行审查部门及审判部门不需再通知被执行人到庭参与诉讼；3、从案外人执行异议的举证逻辑规则及民诉讼法的法条规定分析，执行异议之诉的</w:t>
      </w:r>
      <w:proofErr w:type="gramStart"/>
      <w:r w:rsidRPr="00065F52">
        <w:rPr>
          <w:rFonts w:ascii="仿宋_GB2312" w:eastAsia="仿宋_GB2312" w:hAnsi="宋体" w:hint="eastAsia"/>
          <w:color w:val="000000"/>
          <w:sz w:val="32"/>
          <w:szCs w:val="32"/>
        </w:rPr>
        <w:t>举证责任由案外人</w:t>
      </w:r>
      <w:proofErr w:type="gramEnd"/>
      <w:r w:rsidRPr="00065F52">
        <w:rPr>
          <w:rFonts w:ascii="仿宋_GB2312" w:eastAsia="仿宋_GB2312" w:hAnsi="宋体" w:hint="eastAsia"/>
          <w:color w:val="000000"/>
          <w:sz w:val="32"/>
          <w:szCs w:val="32"/>
        </w:rPr>
        <w:t>承担，因此，执行异议之诉中被执行人是否到庭，</w:t>
      </w:r>
      <w:proofErr w:type="gramStart"/>
      <w:r w:rsidRPr="00065F52">
        <w:rPr>
          <w:rFonts w:ascii="仿宋_GB2312" w:eastAsia="仿宋_GB2312" w:hAnsi="宋体" w:hint="eastAsia"/>
          <w:color w:val="000000"/>
          <w:sz w:val="32"/>
          <w:szCs w:val="32"/>
        </w:rPr>
        <w:t>对于案</w:t>
      </w:r>
      <w:proofErr w:type="gramEnd"/>
      <w:r w:rsidRPr="00065F52">
        <w:rPr>
          <w:rFonts w:ascii="仿宋_GB2312" w:eastAsia="仿宋_GB2312" w:hAnsi="宋体" w:hint="eastAsia"/>
          <w:color w:val="000000"/>
          <w:sz w:val="32"/>
          <w:szCs w:val="32"/>
        </w:rPr>
        <w:t>外人主张实体权利的认定，实质影响不大。因此，为提高审判效率，可将被执行人身份视为不是必须参与诉讼的当事人，如果案件有需要核实的相应事实，再将被执行人追加进入诉讼。虽然，上述建议仍缺乏诉讼法方面的依据，但对于解决由于被执行人</w:t>
      </w:r>
      <w:proofErr w:type="gramStart"/>
      <w:r w:rsidRPr="00065F52">
        <w:rPr>
          <w:rFonts w:ascii="仿宋_GB2312" w:eastAsia="仿宋_GB2312" w:hAnsi="宋体" w:hint="eastAsia"/>
          <w:color w:val="000000"/>
          <w:sz w:val="32"/>
          <w:szCs w:val="32"/>
        </w:rPr>
        <w:t>不</w:t>
      </w:r>
      <w:proofErr w:type="gramEnd"/>
      <w:r w:rsidRPr="00065F52">
        <w:rPr>
          <w:rFonts w:ascii="仿宋_GB2312" w:eastAsia="仿宋_GB2312" w:hAnsi="宋体" w:hint="eastAsia"/>
          <w:color w:val="000000"/>
          <w:sz w:val="32"/>
          <w:szCs w:val="32"/>
        </w:rPr>
        <w:t>到庭而导致的诉讼周期延长的</w:t>
      </w:r>
      <w:r w:rsidR="00215451">
        <w:rPr>
          <w:rFonts w:ascii="仿宋_GB2312" w:eastAsia="仿宋_GB2312" w:hAnsi="宋体" w:hint="eastAsia"/>
          <w:color w:val="000000"/>
          <w:sz w:val="32"/>
          <w:szCs w:val="32"/>
        </w:rPr>
        <w:t>问题</w:t>
      </w:r>
      <w:r w:rsidRPr="00065F52">
        <w:rPr>
          <w:rFonts w:ascii="仿宋_GB2312" w:eastAsia="仿宋_GB2312" w:hAnsi="宋体" w:hint="eastAsia"/>
          <w:color w:val="000000"/>
          <w:sz w:val="32"/>
          <w:szCs w:val="32"/>
        </w:rPr>
        <w:t>，具有实际作用。</w:t>
      </w:r>
    </w:p>
    <w:p w:rsidR="006B7F21" w:rsidRPr="00065F52" w:rsidRDefault="006B7F21" w:rsidP="006B7F21">
      <w:pPr>
        <w:keepNext/>
        <w:keepLines/>
        <w:spacing w:line="416" w:lineRule="auto"/>
        <w:ind w:firstLineChars="200" w:firstLine="640"/>
        <w:outlineLvl w:val="1"/>
        <w:rPr>
          <w:rFonts w:ascii="楷体_GB2312" w:eastAsia="楷体_GB2312" w:hAnsi="宋体"/>
          <w:sz w:val="32"/>
          <w:szCs w:val="32"/>
        </w:rPr>
      </w:pPr>
      <w:bookmarkStart w:id="96" w:name="_Toc36025664"/>
      <w:bookmarkStart w:id="97" w:name="_Toc36025688"/>
      <w:bookmarkStart w:id="98" w:name="_Toc36025850"/>
      <w:bookmarkStart w:id="99" w:name="_Toc36027098"/>
      <w:r w:rsidRPr="00065F52">
        <w:rPr>
          <w:rFonts w:ascii="楷体_GB2312" w:eastAsia="楷体_GB2312" w:hAnsi="宋体" w:hint="eastAsia"/>
          <w:bCs/>
          <w:sz w:val="32"/>
          <w:szCs w:val="32"/>
        </w:rPr>
        <w:lastRenderedPageBreak/>
        <w:t>（三）虚假诉讼的规制与责任</w:t>
      </w:r>
      <w:bookmarkEnd w:id="96"/>
      <w:bookmarkEnd w:id="97"/>
      <w:bookmarkEnd w:id="98"/>
      <w:bookmarkEnd w:id="99"/>
    </w:p>
    <w:p w:rsidR="006B7F21" w:rsidRPr="00065F52" w:rsidRDefault="006B7F21" w:rsidP="006B7F21">
      <w:pPr>
        <w:spacing w:line="560" w:lineRule="exact"/>
        <w:ind w:firstLineChars="200" w:firstLine="640"/>
        <w:rPr>
          <w:rFonts w:ascii="仿宋_GB2312" w:eastAsia="仿宋_GB2312"/>
          <w:sz w:val="32"/>
          <w:szCs w:val="32"/>
        </w:rPr>
      </w:pPr>
      <w:r w:rsidRPr="00065F52">
        <w:rPr>
          <w:rFonts w:ascii="仿宋_GB2312" w:eastAsia="仿宋_GB2312" w:hint="eastAsia"/>
          <w:sz w:val="32"/>
          <w:szCs w:val="32"/>
        </w:rPr>
        <w:t>受社会诚信体系缺失等多种因素影响，司法领域尤其是民商事审判中，利用虚假诉讼规避责任、侵害其他债权人利益的情况</w:t>
      </w:r>
      <w:r w:rsidR="001E746D" w:rsidRPr="00ED6878">
        <w:rPr>
          <w:rFonts w:ascii="仿宋_GB2312" w:eastAsia="仿宋_GB2312" w:hint="eastAsia"/>
          <w:sz w:val="32"/>
          <w:szCs w:val="32"/>
        </w:rPr>
        <w:t>较为</w:t>
      </w:r>
      <w:r w:rsidRPr="00ED6878">
        <w:rPr>
          <w:rFonts w:ascii="仿宋_GB2312" w:eastAsia="仿宋_GB2312" w:hint="eastAsia"/>
          <w:sz w:val="32"/>
          <w:szCs w:val="32"/>
        </w:rPr>
        <w:t>严重</w:t>
      </w:r>
      <w:r w:rsidRPr="00065F52">
        <w:rPr>
          <w:rFonts w:ascii="仿宋_GB2312" w:eastAsia="仿宋_GB2312" w:hint="eastAsia"/>
          <w:sz w:val="32"/>
          <w:szCs w:val="32"/>
        </w:rPr>
        <w:t>。执行异议之诉案件在民商事案件中的比例呈急速上升态势，虚假诉讼在此类案件中的分布又较为广泛，因此，对于执行异议之诉中虚假诉讼的防范与规制需要着重加强。</w:t>
      </w:r>
    </w:p>
    <w:p w:rsidR="006B7F21" w:rsidRPr="00065F52" w:rsidRDefault="006B7F21" w:rsidP="006B7F21">
      <w:pPr>
        <w:spacing w:line="560" w:lineRule="exact"/>
        <w:ind w:firstLineChars="200" w:firstLine="640"/>
        <w:rPr>
          <w:rFonts w:ascii="仿宋_GB2312" w:eastAsia="仿宋_GB2312"/>
          <w:sz w:val="32"/>
          <w:szCs w:val="32"/>
        </w:rPr>
      </w:pPr>
      <w:r w:rsidRPr="00065F52">
        <w:rPr>
          <w:rFonts w:ascii="仿宋_GB2312" w:eastAsia="仿宋_GB2312" w:hint="eastAsia"/>
          <w:sz w:val="32"/>
          <w:szCs w:val="32"/>
        </w:rPr>
        <w:t>虚假诉讼的认定往往陷入困境。当事人之间以恶意串通的方式，借助民事诉讼的方式，制造虚假的债权债务关系无须公示，第三人很难识别。民事诉讼仅赋予法官对于民事案件的一般调查权，因此，认定虚假诉讼的取证难度较大。法官通过心证认为存在虚假诉讼的可能性，但在没有比较确切证据的情况下，法院仍要针对当事人的诉讼请求进行处理。民事审判采取当事人主义，尊重当事人的意思自治，对当事人互相自认的行为，法院一般不予否定。因此，虚假诉讼双方当事人互相串通、虚构事实与证据，从表面上达到事实清楚、证据充分的标准，法官在审查案件事实和法律关系的真实性方面就存在阻碍。即便案件存有疑点也往往因为证据不足而无法直接认定为虚假诉讼。而且，法院之间信息的共享性、对称性尚不完善，无法快速了解其他法院案件受理、审理情况，法院系统与检察机关、公安机关等部门也缺乏信息共享平台，法官不能完全掌握当事人的财产状况、信用记录、违法犯罪历史等记录，导致虚假诉讼在司法审判中的存在空间较大。</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lastRenderedPageBreak/>
        <w:t>现有的诉讼法体系，虽然对虚假诉讼的制裁做出相应的规定，但虚假诉讼的成本小、获利大，现有的司法环境下，罚款、拘留的处罚手段适用空间小，法院对虚假诉讼的处罚，与当事人的身份、名誉、信誉等社会评价尚不挂钩，制裁的威慑力尚不足以遏制虚假诉讼的态势，尚待进一步完善。</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1.民事责任。对虚假诉讼参与人，要适度加大罚款、拘留等妨碍民事诉讼强制措施的法律适用力度；虚假诉讼侵害他人民事权益的，虚假诉讼参与人应当承担赔偿责任</w:t>
      </w:r>
      <w:r w:rsidR="001E746D">
        <w:rPr>
          <w:rFonts w:ascii="仿宋_GB2312" w:eastAsia="仿宋_GB2312" w:hAnsi="宋体" w:hint="eastAsia"/>
          <w:sz w:val="32"/>
          <w:szCs w:val="32"/>
        </w:rPr>
        <w:t>，</w:t>
      </w:r>
      <w:r w:rsidRPr="00065F52">
        <w:rPr>
          <w:rFonts w:ascii="仿宋_GB2312" w:eastAsia="仿宋_GB2312" w:hAnsi="宋体" w:hint="eastAsia"/>
          <w:sz w:val="32"/>
          <w:szCs w:val="32"/>
        </w:rPr>
        <w:t>人民法院审查执行异议之诉案件，须对证据加大审查力度，查明属于虚假诉讼的，原告申请撤诉不予准许，并应当根据《民事诉讼法》第</w:t>
      </w:r>
      <w:r w:rsidR="001E746D">
        <w:rPr>
          <w:rFonts w:ascii="仿宋_GB2312" w:eastAsia="仿宋_GB2312" w:hAnsi="宋体" w:hint="eastAsia"/>
          <w:sz w:val="32"/>
          <w:szCs w:val="32"/>
        </w:rPr>
        <w:t>一百一十二</w:t>
      </w:r>
      <w:r w:rsidRPr="00065F52">
        <w:rPr>
          <w:rFonts w:ascii="仿宋_GB2312" w:eastAsia="仿宋_GB2312" w:hAnsi="宋体" w:hint="eastAsia"/>
          <w:sz w:val="32"/>
          <w:szCs w:val="32"/>
        </w:rPr>
        <w:t>条的规定，驳回其请求。对尚不构成犯罪的虚假诉讼参与人，应根据《民事诉讼法》第</w:t>
      </w:r>
      <w:r w:rsidR="001E746D">
        <w:rPr>
          <w:rFonts w:ascii="仿宋_GB2312" w:eastAsia="仿宋_GB2312" w:hAnsi="宋体" w:hint="eastAsia"/>
          <w:sz w:val="32"/>
          <w:szCs w:val="32"/>
        </w:rPr>
        <w:t>一百一式五</w:t>
      </w:r>
      <w:r w:rsidRPr="00065F52">
        <w:rPr>
          <w:rFonts w:ascii="仿宋_GB2312" w:eastAsia="仿宋_GB2312" w:hAnsi="宋体" w:hint="eastAsia"/>
          <w:sz w:val="32"/>
          <w:szCs w:val="32"/>
        </w:rPr>
        <w:t>条的规定对其从重处罚。因虚假诉讼造成申请执行人损失的，人民法院可向申请</w:t>
      </w:r>
      <w:proofErr w:type="gramStart"/>
      <w:r w:rsidRPr="00065F52">
        <w:rPr>
          <w:rFonts w:ascii="仿宋_GB2312" w:eastAsia="仿宋_GB2312" w:hAnsi="宋体" w:hint="eastAsia"/>
          <w:sz w:val="32"/>
          <w:szCs w:val="32"/>
        </w:rPr>
        <w:t>执行人释明</w:t>
      </w:r>
      <w:proofErr w:type="gramEnd"/>
      <w:r w:rsidRPr="00065F52">
        <w:rPr>
          <w:rFonts w:ascii="仿宋_GB2312" w:eastAsia="仿宋_GB2312" w:hAnsi="宋体" w:hint="eastAsia"/>
          <w:sz w:val="32"/>
          <w:szCs w:val="32"/>
        </w:rPr>
        <w:t>，引导其另行提起诉讼，虚假诉讼参与人应当就其给申请执行人造成的损失承担赔偿责任。</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hint="eastAsia"/>
          <w:sz w:val="32"/>
          <w:szCs w:val="32"/>
        </w:rPr>
        <w:t>2.刑事责任。虚假诉讼违法行为涉嫌虚假诉讼罪、诈骗罪、合同诈骗罪等刑事犯罪的，民事审判部门应当依法将相关线索和有关案件材料移送</w:t>
      </w:r>
      <w:proofErr w:type="gramStart"/>
      <w:r w:rsidRPr="00065F52">
        <w:rPr>
          <w:rFonts w:ascii="仿宋_GB2312" w:eastAsia="仿宋_GB2312" w:hAnsi="宋体" w:hint="eastAsia"/>
          <w:sz w:val="32"/>
          <w:szCs w:val="32"/>
        </w:rPr>
        <w:t>侦查机</w:t>
      </w:r>
      <w:proofErr w:type="gramEnd"/>
      <w:r w:rsidRPr="00065F52">
        <w:rPr>
          <w:rFonts w:ascii="仿宋_GB2312" w:eastAsia="仿宋_GB2312" w:hAnsi="宋体" w:hint="eastAsia"/>
          <w:sz w:val="32"/>
          <w:szCs w:val="32"/>
        </w:rPr>
        <w:t>关。</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sz w:val="32"/>
          <w:szCs w:val="32"/>
        </w:rPr>
        <w:t>3.</w:t>
      </w:r>
      <w:r w:rsidRPr="00065F52">
        <w:rPr>
          <w:rFonts w:ascii="仿宋_GB2312" w:eastAsia="仿宋_GB2312" w:hAnsi="宋体" w:hint="eastAsia"/>
          <w:sz w:val="32"/>
          <w:szCs w:val="32"/>
        </w:rPr>
        <w:t>诉讼代理人参与虚假诉讼的责任。除依法予以制裁、承担民事赔偿责任外，人民法院还应当向司法行政部门、律师协会或行业协会发出司法建议；鉴定机构、鉴定人参与虚假诉讼的，除依法予以制裁、承担民事赔偿责任外，还应责令其退还鉴定费用、从法院委托鉴定专业机构备选名单中除</w:t>
      </w:r>
      <w:r w:rsidRPr="00065F52">
        <w:rPr>
          <w:rFonts w:ascii="仿宋_GB2312" w:eastAsia="仿宋_GB2312" w:hAnsi="宋体" w:hint="eastAsia"/>
          <w:sz w:val="32"/>
          <w:szCs w:val="32"/>
        </w:rPr>
        <w:lastRenderedPageBreak/>
        <w:t>名，同时人民法院应当向司法行政部门或者行业协会发出司法建议。</w:t>
      </w:r>
    </w:p>
    <w:p w:rsidR="006B7F21" w:rsidRPr="00065F52" w:rsidRDefault="006B7F21" w:rsidP="006B7F21">
      <w:pPr>
        <w:spacing w:line="560" w:lineRule="exact"/>
        <w:ind w:firstLineChars="200" w:firstLine="640"/>
        <w:rPr>
          <w:rFonts w:ascii="仿宋_GB2312" w:eastAsia="仿宋_GB2312" w:hAnsi="宋体"/>
          <w:sz w:val="32"/>
          <w:szCs w:val="32"/>
        </w:rPr>
      </w:pPr>
      <w:r w:rsidRPr="00065F52">
        <w:rPr>
          <w:rFonts w:ascii="仿宋_GB2312" w:eastAsia="仿宋_GB2312" w:hAnsi="宋体"/>
          <w:sz w:val="32"/>
          <w:szCs w:val="32"/>
        </w:rPr>
        <w:t>4.</w:t>
      </w:r>
      <w:r w:rsidRPr="00065F52">
        <w:rPr>
          <w:rFonts w:ascii="仿宋_GB2312" w:eastAsia="仿宋_GB2312" w:hAnsi="宋体" w:hint="eastAsia"/>
          <w:sz w:val="32"/>
          <w:szCs w:val="32"/>
        </w:rPr>
        <w:t>探索建立虚假诉讼失信人名单制度。将虚假诉讼参与人列入失信人名单，逐步开展与现有相关信息平台和社会信用体系接轨工作，加大制裁力度。针对执行异议中的虚假诉讼参与人，人民法院应当建立虚假诉讼失信人名单制度，将此类虚假诉讼参与人列入失信人名单，定期向社会公布。</w:t>
      </w:r>
    </w:p>
    <w:p w:rsidR="00E07526" w:rsidRPr="00065F52" w:rsidRDefault="00E07526" w:rsidP="00FC5571">
      <w:pPr>
        <w:spacing w:line="560" w:lineRule="exact"/>
        <w:jc w:val="center"/>
        <w:rPr>
          <w:rFonts w:asciiTheme="minorEastAsia" w:eastAsiaTheme="minorEastAsia" w:hAnsiTheme="minorEastAsia"/>
          <w:sz w:val="32"/>
          <w:szCs w:val="32"/>
        </w:rPr>
      </w:pPr>
    </w:p>
    <w:p w:rsidR="00E07526" w:rsidRPr="00065F52" w:rsidRDefault="00E07526" w:rsidP="00FC5571">
      <w:pPr>
        <w:spacing w:line="560" w:lineRule="exact"/>
        <w:jc w:val="center"/>
        <w:rPr>
          <w:rFonts w:asciiTheme="minorEastAsia" w:eastAsiaTheme="minorEastAsia" w:hAnsiTheme="minorEastAsia"/>
          <w:sz w:val="32"/>
          <w:szCs w:val="32"/>
        </w:rPr>
      </w:pPr>
    </w:p>
    <w:p w:rsidR="00E07526" w:rsidRPr="00065F52" w:rsidRDefault="00E07526" w:rsidP="00FC5571">
      <w:pPr>
        <w:spacing w:line="560" w:lineRule="exact"/>
        <w:jc w:val="center"/>
        <w:rPr>
          <w:rFonts w:asciiTheme="minorEastAsia" w:eastAsiaTheme="minorEastAsia" w:hAnsiTheme="minorEastAsia"/>
          <w:sz w:val="32"/>
          <w:szCs w:val="32"/>
        </w:rPr>
      </w:pPr>
    </w:p>
    <w:p w:rsidR="00E07526" w:rsidRPr="00065F52" w:rsidRDefault="00E07526" w:rsidP="00FC5571">
      <w:pPr>
        <w:spacing w:line="560" w:lineRule="exact"/>
        <w:jc w:val="center"/>
        <w:rPr>
          <w:rFonts w:asciiTheme="minorEastAsia" w:eastAsiaTheme="minorEastAsia" w:hAnsiTheme="minorEastAsia"/>
          <w:sz w:val="32"/>
          <w:szCs w:val="32"/>
        </w:rPr>
      </w:pPr>
    </w:p>
    <w:p w:rsidR="00E07526" w:rsidRPr="00065F52" w:rsidRDefault="00E07526" w:rsidP="00FC5571">
      <w:pPr>
        <w:spacing w:line="560" w:lineRule="exact"/>
        <w:jc w:val="center"/>
        <w:rPr>
          <w:rFonts w:asciiTheme="minorEastAsia" w:eastAsiaTheme="minorEastAsia" w:hAnsiTheme="minorEastAsia"/>
          <w:sz w:val="32"/>
          <w:szCs w:val="32"/>
        </w:rPr>
      </w:pPr>
    </w:p>
    <w:p w:rsidR="00E07526" w:rsidRPr="00065F52" w:rsidRDefault="00E07526" w:rsidP="00FC5571">
      <w:pPr>
        <w:spacing w:line="560" w:lineRule="exact"/>
        <w:jc w:val="center"/>
        <w:rPr>
          <w:rFonts w:asciiTheme="minorEastAsia" w:eastAsiaTheme="minorEastAsia" w:hAnsiTheme="minorEastAsia"/>
          <w:sz w:val="32"/>
          <w:szCs w:val="32"/>
        </w:rPr>
      </w:pPr>
    </w:p>
    <w:p w:rsidR="00E07526" w:rsidRPr="00065F52" w:rsidRDefault="00E07526" w:rsidP="00FC5571">
      <w:pPr>
        <w:spacing w:line="560" w:lineRule="exact"/>
        <w:jc w:val="center"/>
        <w:rPr>
          <w:rFonts w:asciiTheme="minorEastAsia" w:eastAsiaTheme="minorEastAsia" w:hAnsiTheme="minorEastAsia"/>
          <w:sz w:val="32"/>
          <w:szCs w:val="32"/>
        </w:rPr>
      </w:pPr>
    </w:p>
    <w:p w:rsidR="00E07526" w:rsidRPr="00065F52" w:rsidRDefault="00E07526" w:rsidP="00FC5571">
      <w:pPr>
        <w:spacing w:line="560" w:lineRule="exact"/>
        <w:jc w:val="center"/>
        <w:rPr>
          <w:rFonts w:asciiTheme="minorEastAsia" w:eastAsiaTheme="minorEastAsia" w:hAnsiTheme="minorEastAsia"/>
          <w:sz w:val="32"/>
          <w:szCs w:val="32"/>
        </w:rPr>
      </w:pPr>
    </w:p>
    <w:p w:rsidR="00E07526" w:rsidRPr="00065F52" w:rsidRDefault="00E07526" w:rsidP="00FC5571">
      <w:pPr>
        <w:spacing w:line="560" w:lineRule="exact"/>
        <w:jc w:val="center"/>
        <w:rPr>
          <w:rFonts w:asciiTheme="minorEastAsia" w:eastAsiaTheme="minorEastAsia" w:hAnsiTheme="minorEastAsia"/>
          <w:sz w:val="32"/>
          <w:szCs w:val="32"/>
        </w:rPr>
      </w:pPr>
    </w:p>
    <w:p w:rsidR="00E07526" w:rsidRPr="00065F52" w:rsidRDefault="00E07526" w:rsidP="00FC5571">
      <w:pPr>
        <w:spacing w:line="560" w:lineRule="exact"/>
        <w:jc w:val="center"/>
        <w:rPr>
          <w:rFonts w:asciiTheme="minorEastAsia" w:eastAsiaTheme="minorEastAsia" w:hAnsiTheme="minorEastAsia"/>
          <w:sz w:val="32"/>
          <w:szCs w:val="32"/>
        </w:rPr>
      </w:pPr>
    </w:p>
    <w:p w:rsidR="00E07526" w:rsidRPr="00065F52" w:rsidRDefault="00E07526" w:rsidP="00FC5571">
      <w:pPr>
        <w:spacing w:line="560" w:lineRule="exact"/>
        <w:jc w:val="center"/>
        <w:rPr>
          <w:rFonts w:asciiTheme="minorEastAsia" w:eastAsiaTheme="minorEastAsia" w:hAnsiTheme="minorEastAsia"/>
          <w:sz w:val="32"/>
          <w:szCs w:val="32"/>
        </w:rPr>
      </w:pPr>
    </w:p>
    <w:p w:rsidR="00E07526" w:rsidRPr="00065F52" w:rsidRDefault="00E07526" w:rsidP="00FC5571">
      <w:pPr>
        <w:spacing w:line="560" w:lineRule="exact"/>
        <w:jc w:val="center"/>
        <w:rPr>
          <w:rFonts w:asciiTheme="minorEastAsia" w:eastAsiaTheme="minorEastAsia" w:hAnsiTheme="minorEastAsia"/>
          <w:sz w:val="32"/>
          <w:szCs w:val="32"/>
        </w:rPr>
      </w:pPr>
    </w:p>
    <w:p w:rsidR="00E07526" w:rsidRPr="00065F52" w:rsidRDefault="00E07526" w:rsidP="00FC5571">
      <w:pPr>
        <w:spacing w:line="560" w:lineRule="exact"/>
        <w:jc w:val="center"/>
        <w:rPr>
          <w:rFonts w:asciiTheme="minorEastAsia" w:eastAsiaTheme="minorEastAsia" w:hAnsiTheme="minorEastAsia"/>
          <w:sz w:val="32"/>
          <w:szCs w:val="32"/>
        </w:rPr>
      </w:pPr>
    </w:p>
    <w:p w:rsidR="00E07526" w:rsidRPr="00065F52" w:rsidRDefault="00E07526" w:rsidP="00FC5571">
      <w:pPr>
        <w:spacing w:line="560" w:lineRule="exact"/>
        <w:jc w:val="center"/>
        <w:rPr>
          <w:rFonts w:asciiTheme="minorEastAsia" w:eastAsiaTheme="minorEastAsia" w:hAnsiTheme="minorEastAsia"/>
          <w:sz w:val="32"/>
          <w:szCs w:val="32"/>
        </w:rPr>
      </w:pPr>
    </w:p>
    <w:p w:rsidR="00E07526" w:rsidRPr="00065F52" w:rsidRDefault="00E07526" w:rsidP="00FC5571">
      <w:pPr>
        <w:spacing w:line="560" w:lineRule="exact"/>
        <w:jc w:val="center"/>
        <w:rPr>
          <w:rFonts w:asciiTheme="minorEastAsia" w:eastAsiaTheme="minorEastAsia" w:hAnsiTheme="minorEastAsia"/>
          <w:sz w:val="32"/>
          <w:szCs w:val="32"/>
        </w:rPr>
      </w:pPr>
    </w:p>
    <w:p w:rsidR="00E07526" w:rsidRPr="00065F52" w:rsidRDefault="00E07526" w:rsidP="00FC5571">
      <w:pPr>
        <w:spacing w:line="560" w:lineRule="exact"/>
        <w:jc w:val="center"/>
        <w:rPr>
          <w:rFonts w:asciiTheme="minorEastAsia" w:eastAsiaTheme="minorEastAsia" w:hAnsiTheme="minorEastAsia"/>
          <w:sz w:val="32"/>
          <w:szCs w:val="32"/>
        </w:rPr>
      </w:pPr>
    </w:p>
    <w:p w:rsidR="00E07526" w:rsidRPr="00065F52" w:rsidRDefault="00E07526" w:rsidP="00FC5571">
      <w:pPr>
        <w:spacing w:line="560" w:lineRule="exact"/>
        <w:jc w:val="center"/>
        <w:rPr>
          <w:rFonts w:asciiTheme="minorEastAsia" w:eastAsiaTheme="minorEastAsia" w:hAnsiTheme="minorEastAsia"/>
          <w:sz w:val="32"/>
          <w:szCs w:val="32"/>
        </w:rPr>
      </w:pPr>
    </w:p>
    <w:p w:rsidR="00E07526" w:rsidRPr="002E71C3" w:rsidRDefault="002E71C3" w:rsidP="00FC5571">
      <w:pPr>
        <w:spacing w:line="560" w:lineRule="exact"/>
        <w:jc w:val="center"/>
        <w:rPr>
          <w:rFonts w:ascii="方正小标宋简体" w:eastAsia="方正小标宋简体" w:hAnsi="宋体"/>
          <w:sz w:val="40"/>
          <w:szCs w:val="32"/>
        </w:rPr>
      </w:pPr>
      <w:r w:rsidRPr="002E71C3">
        <w:rPr>
          <w:rFonts w:ascii="方正小标宋简体" w:eastAsia="方正小标宋简体" w:hAnsi="宋体" w:hint="eastAsia"/>
          <w:sz w:val="40"/>
          <w:szCs w:val="32"/>
        </w:rPr>
        <w:lastRenderedPageBreak/>
        <w:t>青岛市中级人民法院</w:t>
      </w:r>
    </w:p>
    <w:p w:rsidR="00E07526" w:rsidRPr="00065F52" w:rsidRDefault="00E07526" w:rsidP="00E07526">
      <w:pPr>
        <w:spacing w:line="560" w:lineRule="exact"/>
        <w:jc w:val="center"/>
        <w:rPr>
          <w:rFonts w:ascii="方正小标宋简体" w:eastAsia="方正小标宋简体" w:hAnsi="宋体"/>
          <w:sz w:val="40"/>
          <w:szCs w:val="32"/>
        </w:rPr>
      </w:pPr>
      <w:r w:rsidRPr="00065F52">
        <w:rPr>
          <w:rFonts w:ascii="方正小标宋简体" w:eastAsia="方正小标宋简体" w:hAnsi="宋体" w:hint="eastAsia"/>
          <w:sz w:val="40"/>
          <w:szCs w:val="32"/>
        </w:rPr>
        <w:t>第三人撤销之诉审判白皮书</w:t>
      </w:r>
    </w:p>
    <w:p w:rsidR="00E07526" w:rsidRPr="00065F52" w:rsidRDefault="00E07526" w:rsidP="00E56330">
      <w:pPr>
        <w:spacing w:line="560" w:lineRule="exact"/>
        <w:rPr>
          <w:rStyle w:val="NormalCharacter"/>
          <w:rFonts w:ascii="仿宋_GB2312" w:eastAsia="仿宋_GB2312"/>
          <w:sz w:val="32"/>
        </w:rPr>
      </w:pPr>
    </w:p>
    <w:p w:rsidR="005B73D1" w:rsidRPr="00065F52" w:rsidRDefault="00E07526" w:rsidP="005B73D1">
      <w:pPr>
        <w:spacing w:line="560" w:lineRule="exact"/>
        <w:jc w:val="center"/>
        <w:rPr>
          <w:rStyle w:val="NormalCharacter"/>
          <w:rFonts w:ascii="仿宋_GB2312" w:eastAsia="仿宋_GB2312"/>
          <w:sz w:val="32"/>
        </w:rPr>
      </w:pPr>
      <w:r w:rsidRPr="00065F52">
        <w:rPr>
          <w:rStyle w:val="NormalCharacter"/>
          <w:rFonts w:ascii="仿宋_GB2312" w:eastAsia="仿宋_GB2312" w:hint="eastAsia"/>
          <w:sz w:val="32"/>
        </w:rPr>
        <w:t>目</w:t>
      </w:r>
      <w:r w:rsidR="00B81AAB">
        <w:rPr>
          <w:rStyle w:val="NormalCharacter"/>
          <w:rFonts w:ascii="仿宋_GB2312" w:eastAsia="仿宋_GB2312" w:hint="eastAsia"/>
          <w:sz w:val="32"/>
        </w:rPr>
        <w:t xml:space="preserve">  </w:t>
      </w:r>
      <w:bookmarkStart w:id="100" w:name="_GoBack"/>
      <w:bookmarkEnd w:id="100"/>
      <w:r w:rsidRPr="00065F52">
        <w:rPr>
          <w:rStyle w:val="NormalCharacter"/>
          <w:rFonts w:ascii="仿宋_GB2312" w:eastAsia="仿宋_GB2312" w:hint="eastAsia"/>
          <w:sz w:val="32"/>
        </w:rPr>
        <w:t>录</w:t>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前言</w:t>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第一章 第三人撤销之诉</w:t>
      </w:r>
      <w:proofErr w:type="gramStart"/>
      <w:r w:rsidRPr="00065F52">
        <w:rPr>
          <w:rStyle w:val="NormalCharacter"/>
          <w:rFonts w:ascii="仿宋_GB2312" w:eastAsia="仿宋_GB2312" w:hint="eastAsia"/>
          <w:sz w:val="32"/>
          <w:szCs w:val="32"/>
        </w:rPr>
        <w:t>纠纷审调概况</w:t>
      </w:r>
      <w:proofErr w:type="gramEnd"/>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一、全国第三人撤销之诉纠纷案件总体态势</w:t>
      </w:r>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二、青岛市第三人撤销之诉纠纷案件总体态势</w:t>
      </w:r>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第二章 第三人撤销之诉纠纷案件的特点</w:t>
      </w:r>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一、立案门槛高、审查标准严</w:t>
      </w:r>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二、启动程序和诉讼主体资格特定</w:t>
      </w:r>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三、管辖法院和起诉时间特定</w:t>
      </w:r>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四、权利救济更具终局性和彻底性</w:t>
      </w:r>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五、案件所涉领域广、专业性强，裁判尺度难统一</w:t>
      </w:r>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第三章</w:t>
      </w:r>
      <w:r w:rsidR="00AC3075">
        <w:rPr>
          <w:rStyle w:val="NormalCharacter"/>
          <w:rFonts w:ascii="仿宋_GB2312" w:eastAsia="仿宋_GB2312" w:hint="eastAsia"/>
          <w:sz w:val="32"/>
          <w:szCs w:val="32"/>
        </w:rPr>
        <w:t xml:space="preserve"> </w:t>
      </w:r>
      <w:r w:rsidRPr="00065F52">
        <w:rPr>
          <w:rStyle w:val="NormalCharacter"/>
          <w:rFonts w:ascii="仿宋_GB2312" w:eastAsia="仿宋_GB2312" w:hint="eastAsia"/>
          <w:sz w:val="32"/>
          <w:szCs w:val="32"/>
        </w:rPr>
        <w:t>第三人撤销之诉纠纷的主要处理原则</w:t>
      </w:r>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一、平衡保护、审慎处理原则</w:t>
      </w:r>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二、程序择</w:t>
      </w:r>
      <w:proofErr w:type="gramStart"/>
      <w:r w:rsidRPr="00065F52">
        <w:rPr>
          <w:rStyle w:val="NormalCharacter"/>
          <w:rFonts w:ascii="仿宋_GB2312" w:eastAsia="仿宋_GB2312" w:hint="eastAsia"/>
          <w:sz w:val="32"/>
          <w:szCs w:val="32"/>
        </w:rPr>
        <w:t>一</w:t>
      </w:r>
      <w:proofErr w:type="gramEnd"/>
      <w:r w:rsidRPr="00065F52">
        <w:rPr>
          <w:rStyle w:val="NormalCharacter"/>
          <w:rFonts w:ascii="仿宋_GB2312" w:eastAsia="仿宋_GB2312" w:hint="eastAsia"/>
          <w:sz w:val="32"/>
          <w:szCs w:val="32"/>
        </w:rPr>
        <w:t>适用原则</w:t>
      </w:r>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三、提高审执效率原则</w:t>
      </w:r>
      <w:r w:rsidRPr="00065F52">
        <w:rPr>
          <w:rStyle w:val="NormalCharacter"/>
          <w:rFonts w:ascii="仿宋_GB2312" w:eastAsia="仿宋_GB2312" w:hint="eastAsia"/>
          <w:sz w:val="32"/>
          <w:szCs w:val="32"/>
        </w:rPr>
        <w:tab/>
      </w:r>
    </w:p>
    <w:p w:rsidR="005B73D1" w:rsidRPr="00065F52" w:rsidRDefault="00AC3075" w:rsidP="005B73D1">
      <w:pPr>
        <w:spacing w:line="560" w:lineRule="exact"/>
        <w:rPr>
          <w:rStyle w:val="NormalCharacter"/>
          <w:rFonts w:ascii="仿宋_GB2312" w:eastAsia="仿宋_GB2312"/>
          <w:sz w:val="32"/>
          <w:szCs w:val="32"/>
        </w:rPr>
      </w:pPr>
      <w:r>
        <w:rPr>
          <w:rStyle w:val="NormalCharacter"/>
          <w:rFonts w:ascii="仿宋_GB2312" w:eastAsia="仿宋_GB2312" w:hint="eastAsia"/>
          <w:sz w:val="32"/>
          <w:szCs w:val="32"/>
        </w:rPr>
        <w:t>第四</w:t>
      </w:r>
      <w:r w:rsidR="005B73D1" w:rsidRPr="00065F52">
        <w:rPr>
          <w:rStyle w:val="NormalCharacter"/>
          <w:rFonts w:ascii="仿宋_GB2312" w:eastAsia="仿宋_GB2312" w:hint="eastAsia"/>
          <w:sz w:val="32"/>
          <w:szCs w:val="32"/>
        </w:rPr>
        <w:t>章 第三人撤销之诉案件的启示和建议</w:t>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一、完善诉讼告知制度，规范审理程序</w:t>
      </w:r>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二、严格案外第三人的程序选择权</w:t>
      </w:r>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三、</w:t>
      </w:r>
      <w:proofErr w:type="gramStart"/>
      <w:r w:rsidRPr="00065F52">
        <w:rPr>
          <w:rStyle w:val="NormalCharacter"/>
          <w:rFonts w:ascii="仿宋_GB2312" w:eastAsia="仿宋_GB2312" w:hint="eastAsia"/>
          <w:sz w:val="32"/>
          <w:szCs w:val="32"/>
        </w:rPr>
        <w:t>强化案</w:t>
      </w:r>
      <w:proofErr w:type="gramEnd"/>
      <w:r w:rsidRPr="00065F52">
        <w:rPr>
          <w:rStyle w:val="NormalCharacter"/>
          <w:rFonts w:ascii="仿宋_GB2312" w:eastAsia="仿宋_GB2312" w:hint="eastAsia"/>
          <w:sz w:val="32"/>
          <w:szCs w:val="32"/>
        </w:rPr>
        <w:t>外人的风险</w:t>
      </w:r>
      <w:r w:rsidR="002E71C3">
        <w:rPr>
          <w:rStyle w:val="NormalCharacter"/>
          <w:rFonts w:ascii="仿宋_GB2312" w:eastAsia="仿宋_GB2312" w:hint="eastAsia"/>
          <w:sz w:val="32"/>
          <w:szCs w:val="32"/>
        </w:rPr>
        <w:t>防范</w:t>
      </w:r>
      <w:r w:rsidRPr="00065F52">
        <w:rPr>
          <w:rStyle w:val="NormalCharacter"/>
          <w:rFonts w:ascii="仿宋_GB2312" w:eastAsia="仿宋_GB2312" w:hint="eastAsia"/>
          <w:sz w:val="32"/>
          <w:szCs w:val="32"/>
        </w:rPr>
        <w:t>意识，有效避免权益受损</w:t>
      </w:r>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四、从严立案，限制滥诉，减轻</w:t>
      </w:r>
      <w:proofErr w:type="gramStart"/>
      <w:r w:rsidRPr="00065F52">
        <w:rPr>
          <w:rStyle w:val="NormalCharacter"/>
          <w:rFonts w:ascii="仿宋_GB2312" w:eastAsia="仿宋_GB2312" w:hint="eastAsia"/>
          <w:sz w:val="32"/>
          <w:szCs w:val="32"/>
        </w:rPr>
        <w:t>当事人诉累</w:t>
      </w:r>
      <w:proofErr w:type="gramEnd"/>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五、依法惩治恶意虚假诉讼，维护正常司法秩序</w:t>
      </w:r>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lastRenderedPageBreak/>
        <w:t>六、全面实施第三人撤销之诉案由法定化</w:t>
      </w:r>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32"/>
          <w:szCs w:val="32"/>
        </w:rPr>
      </w:pPr>
      <w:r w:rsidRPr="00065F52">
        <w:rPr>
          <w:rStyle w:val="NormalCharacter"/>
          <w:rFonts w:ascii="仿宋_GB2312" w:eastAsia="仿宋_GB2312" w:hint="eastAsia"/>
          <w:sz w:val="32"/>
          <w:szCs w:val="32"/>
        </w:rPr>
        <w:t>七、加强业务交流，统一</w:t>
      </w:r>
      <w:r w:rsidR="002E71C3" w:rsidRPr="00ED6878">
        <w:rPr>
          <w:rStyle w:val="NormalCharacter"/>
          <w:rFonts w:ascii="仿宋_GB2312" w:eastAsia="仿宋_GB2312" w:hint="eastAsia"/>
          <w:sz w:val="32"/>
          <w:szCs w:val="32"/>
        </w:rPr>
        <w:t>裁判</w:t>
      </w:r>
      <w:r w:rsidRPr="00ED6878">
        <w:rPr>
          <w:rStyle w:val="NormalCharacter"/>
          <w:rFonts w:ascii="仿宋_GB2312" w:eastAsia="仿宋_GB2312" w:hint="eastAsia"/>
          <w:sz w:val="32"/>
          <w:szCs w:val="32"/>
        </w:rPr>
        <w:t>尺度</w:t>
      </w:r>
      <w:r w:rsidRPr="00065F52">
        <w:rPr>
          <w:rStyle w:val="NormalCharacter"/>
          <w:rFonts w:ascii="仿宋_GB2312" w:eastAsia="仿宋_GB2312" w:hint="eastAsia"/>
          <w:sz w:val="32"/>
          <w:szCs w:val="32"/>
        </w:rPr>
        <w:t>，总结实践经验</w:t>
      </w:r>
      <w:r w:rsidRPr="00065F52">
        <w:rPr>
          <w:rStyle w:val="NormalCharacter"/>
          <w:rFonts w:ascii="仿宋_GB2312" w:eastAsia="仿宋_GB2312" w:hint="eastAsia"/>
          <w:sz w:val="32"/>
          <w:szCs w:val="32"/>
        </w:rPr>
        <w:tab/>
      </w:r>
    </w:p>
    <w:p w:rsidR="005B73D1" w:rsidRPr="00065F52" w:rsidRDefault="005B73D1" w:rsidP="005B73D1">
      <w:pPr>
        <w:spacing w:line="560" w:lineRule="exact"/>
        <w:rPr>
          <w:rStyle w:val="NormalCharacter"/>
          <w:rFonts w:ascii="仿宋_GB2312" w:eastAsia="仿宋_GB2312"/>
          <w:sz w:val="44"/>
          <w:szCs w:val="44"/>
        </w:rPr>
      </w:pPr>
    </w:p>
    <w:p w:rsidR="005B73D1" w:rsidRPr="00065F52" w:rsidRDefault="005B73D1" w:rsidP="005B73D1">
      <w:pPr>
        <w:spacing w:line="560" w:lineRule="exact"/>
        <w:rPr>
          <w:rStyle w:val="NormalCharacter"/>
          <w:rFonts w:ascii="仿宋_GB2312" w:eastAsia="仿宋_GB2312"/>
          <w:sz w:val="44"/>
          <w:szCs w:val="44"/>
        </w:rPr>
      </w:pPr>
    </w:p>
    <w:p w:rsidR="005B73D1" w:rsidRPr="00065F52" w:rsidRDefault="005B73D1" w:rsidP="005B73D1">
      <w:pPr>
        <w:spacing w:line="560" w:lineRule="exact"/>
        <w:rPr>
          <w:rStyle w:val="NormalCharacter"/>
          <w:rFonts w:ascii="仿宋_GB2312" w:eastAsia="仿宋_GB2312"/>
          <w:sz w:val="44"/>
          <w:szCs w:val="44"/>
        </w:rPr>
      </w:pPr>
    </w:p>
    <w:p w:rsidR="005B73D1" w:rsidRPr="00065F52" w:rsidRDefault="005B73D1" w:rsidP="005B73D1">
      <w:pPr>
        <w:spacing w:line="560" w:lineRule="exact"/>
        <w:rPr>
          <w:rStyle w:val="NormalCharacter"/>
          <w:rFonts w:ascii="仿宋_GB2312" w:eastAsia="仿宋_GB2312"/>
          <w:sz w:val="44"/>
          <w:szCs w:val="44"/>
        </w:rPr>
      </w:pPr>
    </w:p>
    <w:p w:rsidR="005B73D1" w:rsidRDefault="005B73D1" w:rsidP="005B73D1">
      <w:pPr>
        <w:spacing w:line="560" w:lineRule="exact"/>
        <w:rPr>
          <w:rStyle w:val="NormalCharacter"/>
          <w:rFonts w:ascii="仿宋_GB2312" w:eastAsia="仿宋_GB2312"/>
          <w:sz w:val="44"/>
          <w:szCs w:val="44"/>
        </w:rPr>
      </w:pPr>
    </w:p>
    <w:p w:rsidR="000B635D" w:rsidRDefault="000B635D" w:rsidP="005B73D1">
      <w:pPr>
        <w:spacing w:line="560" w:lineRule="exact"/>
        <w:rPr>
          <w:rStyle w:val="NormalCharacter"/>
          <w:rFonts w:ascii="仿宋_GB2312" w:eastAsia="仿宋_GB2312"/>
          <w:sz w:val="44"/>
          <w:szCs w:val="44"/>
        </w:rPr>
      </w:pPr>
    </w:p>
    <w:p w:rsidR="000B635D" w:rsidRDefault="000B635D" w:rsidP="005B73D1">
      <w:pPr>
        <w:spacing w:line="560" w:lineRule="exact"/>
        <w:rPr>
          <w:rStyle w:val="NormalCharacter"/>
          <w:rFonts w:ascii="仿宋_GB2312" w:eastAsia="仿宋_GB2312"/>
          <w:sz w:val="44"/>
          <w:szCs w:val="44"/>
        </w:rPr>
      </w:pPr>
    </w:p>
    <w:p w:rsidR="000B635D" w:rsidRDefault="000B635D" w:rsidP="005B73D1">
      <w:pPr>
        <w:spacing w:line="560" w:lineRule="exact"/>
        <w:rPr>
          <w:rStyle w:val="NormalCharacter"/>
          <w:rFonts w:ascii="仿宋_GB2312" w:eastAsia="仿宋_GB2312"/>
          <w:sz w:val="44"/>
          <w:szCs w:val="44"/>
        </w:rPr>
      </w:pPr>
    </w:p>
    <w:p w:rsidR="000B635D" w:rsidRDefault="000B635D" w:rsidP="005B73D1">
      <w:pPr>
        <w:spacing w:line="560" w:lineRule="exact"/>
        <w:rPr>
          <w:rStyle w:val="NormalCharacter"/>
          <w:rFonts w:ascii="仿宋_GB2312" w:eastAsia="仿宋_GB2312"/>
          <w:sz w:val="44"/>
          <w:szCs w:val="44"/>
        </w:rPr>
      </w:pPr>
    </w:p>
    <w:p w:rsidR="000B635D" w:rsidRDefault="000B635D" w:rsidP="005B73D1">
      <w:pPr>
        <w:spacing w:line="560" w:lineRule="exact"/>
        <w:rPr>
          <w:rStyle w:val="NormalCharacter"/>
          <w:rFonts w:ascii="仿宋_GB2312" w:eastAsia="仿宋_GB2312"/>
          <w:sz w:val="44"/>
          <w:szCs w:val="44"/>
        </w:rPr>
      </w:pPr>
    </w:p>
    <w:p w:rsidR="000B635D" w:rsidRDefault="000B635D" w:rsidP="005B73D1">
      <w:pPr>
        <w:spacing w:line="560" w:lineRule="exact"/>
        <w:rPr>
          <w:rStyle w:val="NormalCharacter"/>
          <w:rFonts w:ascii="仿宋_GB2312" w:eastAsia="仿宋_GB2312"/>
          <w:sz w:val="44"/>
          <w:szCs w:val="44"/>
        </w:rPr>
      </w:pPr>
    </w:p>
    <w:p w:rsidR="000B635D" w:rsidRDefault="000B635D" w:rsidP="005B73D1">
      <w:pPr>
        <w:spacing w:line="560" w:lineRule="exact"/>
        <w:rPr>
          <w:rStyle w:val="NormalCharacter"/>
          <w:rFonts w:ascii="仿宋_GB2312" w:eastAsia="仿宋_GB2312"/>
          <w:sz w:val="44"/>
          <w:szCs w:val="44"/>
        </w:rPr>
      </w:pPr>
    </w:p>
    <w:p w:rsidR="000B635D" w:rsidRDefault="000B635D" w:rsidP="005B73D1">
      <w:pPr>
        <w:spacing w:line="560" w:lineRule="exact"/>
        <w:rPr>
          <w:rStyle w:val="NormalCharacter"/>
          <w:rFonts w:ascii="仿宋_GB2312" w:eastAsia="仿宋_GB2312"/>
          <w:sz w:val="44"/>
          <w:szCs w:val="44"/>
        </w:rPr>
      </w:pPr>
    </w:p>
    <w:p w:rsidR="000B635D" w:rsidRDefault="000B635D" w:rsidP="005B73D1">
      <w:pPr>
        <w:spacing w:line="560" w:lineRule="exact"/>
        <w:rPr>
          <w:rStyle w:val="NormalCharacter"/>
          <w:rFonts w:ascii="仿宋_GB2312" w:eastAsia="仿宋_GB2312"/>
          <w:sz w:val="44"/>
          <w:szCs w:val="44"/>
        </w:rPr>
      </w:pPr>
    </w:p>
    <w:p w:rsidR="000B635D" w:rsidRDefault="000B635D" w:rsidP="005B73D1">
      <w:pPr>
        <w:spacing w:line="560" w:lineRule="exact"/>
        <w:rPr>
          <w:rStyle w:val="NormalCharacter"/>
          <w:rFonts w:ascii="仿宋_GB2312" w:eastAsia="仿宋_GB2312"/>
          <w:sz w:val="44"/>
          <w:szCs w:val="44"/>
        </w:rPr>
      </w:pPr>
    </w:p>
    <w:p w:rsidR="000B635D" w:rsidRDefault="000B635D" w:rsidP="005B73D1">
      <w:pPr>
        <w:spacing w:line="560" w:lineRule="exact"/>
        <w:rPr>
          <w:rStyle w:val="NormalCharacter"/>
          <w:rFonts w:ascii="仿宋_GB2312" w:eastAsia="仿宋_GB2312"/>
          <w:sz w:val="44"/>
          <w:szCs w:val="44"/>
        </w:rPr>
      </w:pPr>
    </w:p>
    <w:p w:rsidR="000B635D" w:rsidRDefault="000B635D" w:rsidP="005B73D1">
      <w:pPr>
        <w:spacing w:line="560" w:lineRule="exact"/>
        <w:rPr>
          <w:rStyle w:val="NormalCharacter"/>
          <w:rFonts w:ascii="仿宋_GB2312" w:eastAsia="仿宋_GB2312"/>
          <w:sz w:val="44"/>
          <w:szCs w:val="44"/>
        </w:rPr>
      </w:pPr>
    </w:p>
    <w:p w:rsidR="000B635D" w:rsidRDefault="000B635D" w:rsidP="005B73D1">
      <w:pPr>
        <w:spacing w:line="560" w:lineRule="exact"/>
        <w:rPr>
          <w:rStyle w:val="NormalCharacter"/>
          <w:rFonts w:ascii="仿宋_GB2312" w:eastAsia="仿宋_GB2312"/>
          <w:sz w:val="44"/>
          <w:szCs w:val="44"/>
        </w:rPr>
      </w:pPr>
    </w:p>
    <w:p w:rsidR="000B635D" w:rsidRDefault="000B635D" w:rsidP="005B73D1">
      <w:pPr>
        <w:spacing w:line="560" w:lineRule="exact"/>
        <w:rPr>
          <w:rStyle w:val="NormalCharacter"/>
          <w:rFonts w:ascii="仿宋_GB2312" w:eastAsia="仿宋_GB2312"/>
          <w:sz w:val="44"/>
          <w:szCs w:val="44"/>
        </w:rPr>
      </w:pPr>
    </w:p>
    <w:p w:rsidR="000B635D" w:rsidRDefault="000B635D" w:rsidP="005B73D1">
      <w:pPr>
        <w:spacing w:line="560" w:lineRule="exact"/>
        <w:rPr>
          <w:rStyle w:val="NormalCharacter"/>
          <w:rFonts w:ascii="仿宋_GB2312" w:eastAsia="仿宋_GB2312"/>
          <w:sz w:val="44"/>
          <w:szCs w:val="44"/>
        </w:rPr>
      </w:pPr>
    </w:p>
    <w:p w:rsidR="000B635D" w:rsidRPr="00065F52" w:rsidRDefault="000B635D" w:rsidP="005B73D1">
      <w:pPr>
        <w:spacing w:line="560" w:lineRule="exact"/>
        <w:rPr>
          <w:rStyle w:val="NormalCharacter"/>
          <w:rFonts w:ascii="仿宋_GB2312" w:eastAsia="仿宋_GB2312"/>
          <w:sz w:val="44"/>
          <w:szCs w:val="44"/>
        </w:rPr>
      </w:pPr>
    </w:p>
    <w:p w:rsidR="005B73D1" w:rsidRPr="00065F52" w:rsidRDefault="005B73D1" w:rsidP="005B73D1">
      <w:pPr>
        <w:spacing w:line="560" w:lineRule="exact"/>
        <w:rPr>
          <w:rStyle w:val="NormalCharacter"/>
          <w:rFonts w:ascii="仿宋_GB2312" w:eastAsia="仿宋_GB2312"/>
          <w:sz w:val="44"/>
          <w:szCs w:val="44"/>
        </w:rPr>
      </w:pPr>
    </w:p>
    <w:p w:rsidR="001503D0" w:rsidRPr="00065F52" w:rsidRDefault="001503D0" w:rsidP="001503D0">
      <w:pPr>
        <w:pStyle w:val="1"/>
        <w:spacing w:before="0" w:after="0"/>
        <w:jc w:val="center"/>
        <w:rPr>
          <w:rStyle w:val="NormalCharacter"/>
          <w:rFonts w:ascii="方正小标宋简体" w:eastAsia="方正小标宋简体"/>
          <w:b w:val="0"/>
        </w:rPr>
      </w:pPr>
      <w:bookmarkStart w:id="101" w:name="_Toc36114035"/>
      <w:r w:rsidRPr="00065F52">
        <w:rPr>
          <w:rStyle w:val="NormalCharacter"/>
          <w:rFonts w:ascii="方正小标宋简体" w:eastAsia="方正小标宋简体" w:hint="eastAsia"/>
          <w:b w:val="0"/>
        </w:rPr>
        <w:lastRenderedPageBreak/>
        <w:t>前  言</w:t>
      </w:r>
      <w:bookmarkEnd w:id="101"/>
    </w:p>
    <w:p w:rsidR="001503D0" w:rsidRPr="00065F52" w:rsidRDefault="001503D0" w:rsidP="001503D0">
      <w:pPr>
        <w:spacing w:line="560" w:lineRule="exact"/>
        <w:rPr>
          <w:rStyle w:val="NormalCharacter"/>
          <w:rFonts w:ascii="仿宋_GB2312" w:eastAsia="仿宋_GB2312"/>
          <w:sz w:val="44"/>
          <w:szCs w:val="44"/>
        </w:rPr>
      </w:pPr>
    </w:p>
    <w:p w:rsidR="001503D0" w:rsidRPr="00065F52" w:rsidRDefault="001503D0" w:rsidP="001503D0">
      <w:pPr>
        <w:snapToGrid w:val="0"/>
        <w:spacing w:line="560" w:lineRule="exact"/>
        <w:ind w:firstLineChars="200" w:firstLine="640"/>
        <w:rPr>
          <w:rFonts w:ascii="仿宋_GB2312" w:eastAsia="仿宋_GB2312" w:hAnsi="宋体" w:cs="宋体"/>
          <w:color w:val="000000"/>
          <w:kern w:val="0"/>
          <w:sz w:val="32"/>
          <w:szCs w:val="32"/>
        </w:rPr>
      </w:pPr>
      <w:r w:rsidRPr="00065F52">
        <w:rPr>
          <w:rFonts w:ascii="仿宋_GB2312" w:eastAsia="仿宋_GB2312" w:hAnsi="宋体" w:cs="宋体" w:hint="eastAsia"/>
          <w:color w:val="000000"/>
          <w:kern w:val="0"/>
          <w:sz w:val="32"/>
          <w:szCs w:val="32"/>
        </w:rPr>
        <w:t>法</w:t>
      </w:r>
      <w:proofErr w:type="gramStart"/>
      <w:r w:rsidRPr="00065F52">
        <w:rPr>
          <w:rFonts w:ascii="仿宋_GB2312" w:eastAsia="仿宋_GB2312" w:hAnsi="宋体" w:cs="宋体" w:hint="eastAsia"/>
          <w:color w:val="000000"/>
          <w:kern w:val="0"/>
          <w:sz w:val="32"/>
          <w:szCs w:val="32"/>
        </w:rPr>
        <w:t>谚</w:t>
      </w:r>
      <w:proofErr w:type="gramEnd"/>
      <w:r w:rsidRPr="00065F52">
        <w:rPr>
          <w:rFonts w:ascii="仿宋_GB2312" w:eastAsia="仿宋_GB2312" w:hAnsi="宋体" w:cs="宋体" w:hint="eastAsia"/>
          <w:color w:val="000000"/>
          <w:kern w:val="0"/>
          <w:sz w:val="32"/>
          <w:szCs w:val="32"/>
        </w:rPr>
        <w:t>有云</w:t>
      </w:r>
      <w:r w:rsidR="002E71C3">
        <w:rPr>
          <w:rFonts w:ascii="仿宋_GB2312" w:eastAsia="仿宋_GB2312" w:hAnsi="宋体" w:cs="宋体" w:hint="eastAsia"/>
          <w:color w:val="000000"/>
          <w:kern w:val="0"/>
          <w:sz w:val="32"/>
          <w:szCs w:val="32"/>
        </w:rPr>
        <w:t>，</w:t>
      </w:r>
      <w:r w:rsidRPr="00065F52">
        <w:rPr>
          <w:rFonts w:ascii="仿宋_GB2312" w:eastAsia="仿宋_GB2312" w:hAnsi="宋体" w:cs="宋体" w:hint="eastAsia"/>
          <w:color w:val="000000"/>
          <w:kern w:val="0"/>
          <w:sz w:val="32"/>
          <w:szCs w:val="32"/>
        </w:rPr>
        <w:t>“没有救济的权利不是真正的权利”。第三人撤销之诉是我国2012年修改的民事诉讼法中新创设的一种第三人权利救济制度，该制度有力促进了我国第三人权益救济体系的完善。第三人撤销之</w:t>
      </w:r>
      <w:proofErr w:type="gramStart"/>
      <w:r w:rsidRPr="00065F52">
        <w:rPr>
          <w:rFonts w:ascii="仿宋_GB2312" w:eastAsia="仿宋_GB2312" w:hAnsi="宋体" w:cs="宋体" w:hint="eastAsia"/>
          <w:color w:val="000000"/>
          <w:kern w:val="0"/>
          <w:sz w:val="32"/>
          <w:szCs w:val="32"/>
        </w:rPr>
        <w:t>诉制度</w:t>
      </w:r>
      <w:proofErr w:type="gramEnd"/>
      <w:r w:rsidRPr="00065F52">
        <w:rPr>
          <w:rFonts w:ascii="仿宋_GB2312" w:eastAsia="仿宋_GB2312" w:hAnsi="宋体" w:cs="宋体" w:hint="eastAsia"/>
          <w:color w:val="000000"/>
          <w:kern w:val="0"/>
          <w:sz w:val="32"/>
          <w:szCs w:val="32"/>
        </w:rPr>
        <w:t>主要是指案外第三人通过依法申请撤销他人之间已经生效的、错误的判决、裁定和调解书的方式，维护自身合法民事权益的制度。该制度的设置，是立法者在实体正义和司法权威的价值冲突中所做的选择，特别是在遏制、打击实践中出现的虚假诉讼，</w:t>
      </w:r>
      <w:proofErr w:type="gramStart"/>
      <w:r w:rsidRPr="00065F52">
        <w:rPr>
          <w:rFonts w:ascii="仿宋_GB2312" w:eastAsia="仿宋_GB2312" w:hAnsi="宋体" w:cs="宋体" w:hint="eastAsia"/>
          <w:color w:val="000000"/>
          <w:kern w:val="0"/>
          <w:sz w:val="32"/>
          <w:szCs w:val="32"/>
        </w:rPr>
        <w:t>维护案</w:t>
      </w:r>
      <w:proofErr w:type="gramEnd"/>
      <w:r w:rsidRPr="00065F52">
        <w:rPr>
          <w:rFonts w:ascii="仿宋_GB2312" w:eastAsia="仿宋_GB2312" w:hAnsi="宋体" w:cs="宋体" w:hint="eastAsia"/>
          <w:color w:val="000000"/>
          <w:kern w:val="0"/>
          <w:sz w:val="32"/>
          <w:szCs w:val="32"/>
        </w:rPr>
        <w:t>外人合法权益方面尤为必要。近年来，当事人通过恶意诉讼、虚构债权等手段侵害第三人合法权益的案件日益增多，而个别当事人、案外人利用相关救济程序滥用诉权，拖延规避执行的案件也时有发生。此类案件如不妥善解决，不仅有损司法权威，更会增加社会矛盾纠纷，不利于社会的安全稳定，有违公平正义。虽然在案外人救济程序中，尚有案外人执行异议之诉及案外人申请再审程序，</w:t>
      </w:r>
      <w:proofErr w:type="gramStart"/>
      <w:r w:rsidRPr="00065F52">
        <w:rPr>
          <w:rFonts w:ascii="仿宋_GB2312" w:eastAsia="仿宋_GB2312" w:hAnsi="宋体" w:cs="宋体" w:hint="eastAsia"/>
          <w:color w:val="000000"/>
          <w:kern w:val="0"/>
          <w:sz w:val="32"/>
          <w:szCs w:val="32"/>
        </w:rPr>
        <w:t>但案外人</w:t>
      </w:r>
      <w:proofErr w:type="gramEnd"/>
      <w:r w:rsidRPr="00065F52">
        <w:rPr>
          <w:rFonts w:ascii="仿宋_GB2312" w:eastAsia="仿宋_GB2312" w:hAnsi="宋体" w:cs="宋体" w:hint="eastAsia"/>
          <w:color w:val="000000"/>
          <w:kern w:val="0"/>
          <w:sz w:val="32"/>
          <w:szCs w:val="32"/>
        </w:rPr>
        <w:t>执行异议</w:t>
      </w:r>
      <w:proofErr w:type="gramStart"/>
      <w:r w:rsidRPr="00065F52">
        <w:rPr>
          <w:rFonts w:ascii="仿宋_GB2312" w:eastAsia="仿宋_GB2312" w:hAnsi="宋体" w:cs="宋体" w:hint="eastAsia"/>
          <w:color w:val="000000"/>
          <w:kern w:val="0"/>
          <w:sz w:val="32"/>
          <w:szCs w:val="32"/>
        </w:rPr>
        <w:t>之诉仅适用于</w:t>
      </w:r>
      <w:proofErr w:type="gramEnd"/>
      <w:r w:rsidRPr="00065F52">
        <w:rPr>
          <w:rFonts w:ascii="仿宋_GB2312" w:eastAsia="仿宋_GB2312" w:hAnsi="宋体" w:cs="宋体" w:hint="eastAsia"/>
          <w:color w:val="000000"/>
          <w:kern w:val="0"/>
          <w:sz w:val="32"/>
          <w:szCs w:val="32"/>
        </w:rPr>
        <w:t>执行阶段，在裁判生效后至执行前这一阶段或者案件未申请强制执行时，对第三人不能有效救济，</w:t>
      </w:r>
      <w:proofErr w:type="gramStart"/>
      <w:r w:rsidRPr="00065F52">
        <w:rPr>
          <w:rFonts w:ascii="仿宋_GB2312" w:eastAsia="仿宋_GB2312" w:hAnsi="宋体" w:cs="宋体" w:hint="eastAsia"/>
          <w:color w:val="000000"/>
          <w:kern w:val="0"/>
          <w:sz w:val="32"/>
          <w:szCs w:val="32"/>
        </w:rPr>
        <w:t>而案外人</w:t>
      </w:r>
      <w:proofErr w:type="gramEnd"/>
      <w:r w:rsidRPr="00065F52">
        <w:rPr>
          <w:rFonts w:ascii="仿宋_GB2312" w:eastAsia="仿宋_GB2312" w:hAnsi="宋体" w:cs="宋体" w:hint="eastAsia"/>
          <w:color w:val="000000"/>
          <w:kern w:val="0"/>
          <w:sz w:val="32"/>
          <w:szCs w:val="32"/>
        </w:rPr>
        <w:t>申请再审程序也是限定在执行过程中，以执行异议为前置程序，且再审旨在推翻原诉判决的效力，往往以诉讼程序、生效裁判等存在重大瑕疵、确有错误等为启动的前提条件，致使再审程序审查尤为严格，不利于对第三人合法权益的保护。而</w:t>
      </w:r>
      <w:r w:rsidRPr="00065F52">
        <w:rPr>
          <w:rStyle w:val="NormalCharacter"/>
          <w:rFonts w:ascii="仿宋_GB2312" w:eastAsia="仿宋_GB2312" w:hint="eastAsia"/>
          <w:sz w:val="32"/>
          <w:szCs w:val="32"/>
        </w:rPr>
        <w:t>第三人撤销之诉起诉的期间是从原审裁判文书生效开始起</w:t>
      </w:r>
      <w:r w:rsidRPr="00065F52">
        <w:rPr>
          <w:rStyle w:val="NormalCharacter"/>
          <w:rFonts w:ascii="仿宋_GB2312" w:eastAsia="仿宋_GB2312" w:hint="eastAsia"/>
          <w:sz w:val="32"/>
          <w:szCs w:val="32"/>
        </w:rPr>
        <w:lastRenderedPageBreak/>
        <w:t>算，该裁判文书是否进入执行程序在所不问。经审查，第三人的</w:t>
      </w:r>
      <w:r w:rsidRPr="00065F52">
        <w:rPr>
          <w:rStyle w:val="NormalCharacter"/>
          <w:rFonts w:ascii="仿宋_GB2312" w:eastAsia="仿宋_GB2312" w:hint="eastAsia"/>
          <w:color w:val="000000"/>
          <w:sz w:val="32"/>
          <w:szCs w:val="32"/>
        </w:rPr>
        <w:t>诉讼请求依法成立的，法院一般应改变或者撤销原审裁判文书，并可根据第三人的主张，对第三人提出的实体权利</w:t>
      </w:r>
      <w:proofErr w:type="gramStart"/>
      <w:r w:rsidRPr="00065F52">
        <w:rPr>
          <w:rStyle w:val="NormalCharacter"/>
          <w:rFonts w:ascii="仿宋_GB2312" w:eastAsia="仿宋_GB2312" w:hint="eastAsia"/>
          <w:color w:val="000000"/>
          <w:sz w:val="32"/>
          <w:szCs w:val="32"/>
        </w:rPr>
        <w:t>作出</w:t>
      </w:r>
      <w:proofErr w:type="gramEnd"/>
      <w:r w:rsidRPr="00065F52">
        <w:rPr>
          <w:rStyle w:val="NormalCharacter"/>
          <w:rFonts w:ascii="仿宋_GB2312" w:eastAsia="仿宋_GB2312" w:hint="eastAsia"/>
          <w:color w:val="000000"/>
          <w:sz w:val="32"/>
          <w:szCs w:val="32"/>
        </w:rPr>
        <w:t>具体认定，</w:t>
      </w:r>
      <w:r w:rsidRPr="00065F52">
        <w:rPr>
          <w:rStyle w:val="NormalCharacter"/>
          <w:rFonts w:ascii="仿宋_GB2312" w:eastAsia="仿宋_GB2312" w:hAnsi="黑体" w:hint="eastAsia"/>
          <w:sz w:val="32"/>
          <w:szCs w:val="32"/>
        </w:rPr>
        <w:t>能够</w:t>
      </w:r>
      <w:r w:rsidRPr="00065F52">
        <w:rPr>
          <w:rStyle w:val="NormalCharacter"/>
          <w:rFonts w:ascii="仿宋_GB2312" w:eastAsia="仿宋_GB2312" w:hint="eastAsia"/>
          <w:color w:val="000000"/>
          <w:sz w:val="32"/>
          <w:szCs w:val="32"/>
        </w:rPr>
        <w:t>实现对当事人合法权益的全面维护。</w:t>
      </w:r>
      <w:r w:rsidRPr="00065F52">
        <w:rPr>
          <w:rFonts w:ascii="仿宋_GB2312" w:eastAsia="仿宋_GB2312" w:hAnsi="宋体" w:cs="宋体" w:hint="eastAsia"/>
          <w:color w:val="000000"/>
          <w:kern w:val="0"/>
          <w:sz w:val="32"/>
          <w:szCs w:val="32"/>
        </w:rPr>
        <w:t>因此，</w:t>
      </w:r>
      <w:r w:rsidRPr="00065F52">
        <w:rPr>
          <w:rStyle w:val="NormalCharacter"/>
          <w:rFonts w:ascii="仿宋_GB2312" w:eastAsia="仿宋_GB2312" w:hint="eastAsia"/>
          <w:sz w:val="32"/>
          <w:szCs w:val="32"/>
        </w:rPr>
        <w:t>第三人撤销之诉的</w:t>
      </w:r>
      <w:r w:rsidRPr="00065F52">
        <w:rPr>
          <w:rStyle w:val="NormalCharacter"/>
          <w:rFonts w:ascii="仿宋_GB2312" w:eastAsia="仿宋_GB2312" w:hAnsi="黑体" w:hint="eastAsia"/>
          <w:sz w:val="32"/>
          <w:szCs w:val="32"/>
        </w:rPr>
        <w:t>权利救济更具终局性和彻底性，</w:t>
      </w:r>
      <w:r w:rsidRPr="00065F52">
        <w:rPr>
          <w:rFonts w:ascii="仿宋_GB2312" w:eastAsia="仿宋_GB2312" w:hAnsi="宋体" w:cs="宋体" w:hint="eastAsia"/>
          <w:color w:val="000000"/>
          <w:kern w:val="0"/>
          <w:sz w:val="32"/>
          <w:szCs w:val="32"/>
        </w:rPr>
        <w:t>其制度设置也已成为必然。</w:t>
      </w:r>
    </w:p>
    <w:p w:rsidR="001503D0" w:rsidRPr="00065F52" w:rsidRDefault="001503D0" w:rsidP="001503D0">
      <w:pPr>
        <w:snapToGrid w:val="0"/>
        <w:spacing w:line="560" w:lineRule="exact"/>
        <w:ind w:firstLineChars="200" w:firstLine="640"/>
        <w:rPr>
          <w:rFonts w:ascii="仿宋_GB2312" w:eastAsia="仿宋_GB2312" w:hAnsi="宋体" w:cs="宋体"/>
          <w:color w:val="000000"/>
          <w:kern w:val="0"/>
          <w:sz w:val="32"/>
          <w:szCs w:val="32"/>
        </w:rPr>
      </w:pPr>
      <w:r w:rsidRPr="00065F52">
        <w:rPr>
          <w:rStyle w:val="NormalCharacter"/>
          <w:rFonts w:ascii="仿宋_GB2312" w:eastAsia="仿宋_GB2312" w:hAnsi="宋体" w:hint="eastAsia"/>
          <w:color w:val="000000" w:themeColor="text1"/>
          <w:sz w:val="32"/>
          <w:szCs w:val="32"/>
        </w:rPr>
        <w:t>作为2012年新创设的案外人权益救济制度，该制度在实行之后，案件已成持续增长态势。</w:t>
      </w:r>
      <w:r w:rsidRPr="00065F52">
        <w:rPr>
          <w:rFonts w:ascii="仿宋_GB2312" w:eastAsia="仿宋_GB2312" w:hAnsi="宋体" w:cs="宋体" w:hint="eastAsia"/>
          <w:color w:val="000000"/>
          <w:kern w:val="0"/>
          <w:sz w:val="32"/>
          <w:szCs w:val="32"/>
        </w:rPr>
        <w:t>在全国2013-2019年度的第三人撤销之</w:t>
      </w:r>
      <w:proofErr w:type="gramStart"/>
      <w:r w:rsidRPr="00065F52">
        <w:rPr>
          <w:rFonts w:ascii="仿宋_GB2312" w:eastAsia="仿宋_GB2312" w:hAnsi="宋体" w:cs="宋体" w:hint="eastAsia"/>
          <w:color w:val="000000"/>
          <w:kern w:val="0"/>
          <w:sz w:val="32"/>
          <w:szCs w:val="32"/>
        </w:rPr>
        <w:t>诉公开</w:t>
      </w:r>
      <w:proofErr w:type="gramEnd"/>
      <w:r w:rsidRPr="00065F52">
        <w:rPr>
          <w:rFonts w:ascii="仿宋_GB2312" w:eastAsia="仿宋_GB2312" w:hAnsi="宋体" w:cs="宋体" w:hint="eastAsia"/>
          <w:color w:val="000000"/>
          <w:kern w:val="0"/>
          <w:sz w:val="32"/>
          <w:szCs w:val="32"/>
        </w:rPr>
        <w:t>案例数据统计当中，案例数量基本是逐年增长，其中2018年达到最高峰，为7034件，2019年略有回落。然而，第三人撤销之</w:t>
      </w:r>
      <w:proofErr w:type="gramStart"/>
      <w:r w:rsidRPr="00065F52">
        <w:rPr>
          <w:rFonts w:ascii="仿宋_GB2312" w:eastAsia="仿宋_GB2312" w:hAnsi="宋体" w:cs="宋体" w:hint="eastAsia"/>
          <w:color w:val="000000"/>
          <w:kern w:val="0"/>
          <w:sz w:val="32"/>
          <w:szCs w:val="32"/>
        </w:rPr>
        <w:t>诉制度</w:t>
      </w:r>
      <w:proofErr w:type="gramEnd"/>
      <w:r w:rsidRPr="00065F52">
        <w:rPr>
          <w:rFonts w:ascii="仿宋_GB2312" w:eastAsia="仿宋_GB2312" w:hAnsi="宋体" w:cs="宋体" w:hint="eastAsia"/>
          <w:color w:val="000000"/>
          <w:kern w:val="0"/>
          <w:sz w:val="32"/>
          <w:szCs w:val="32"/>
        </w:rPr>
        <w:t>作为一种对原审裁判的纠错机制，从立法之初到现在，该类案件在呈逐年增长趋势同时，在司法实践中也产生了种种问题，急需明确解决思路，指导司法实践，实现第三人利益救济。</w:t>
      </w:r>
    </w:p>
    <w:p w:rsidR="001503D0" w:rsidRPr="00065F52" w:rsidRDefault="001503D0" w:rsidP="001503D0">
      <w:pPr>
        <w:snapToGrid w:val="0"/>
        <w:spacing w:line="560" w:lineRule="exact"/>
        <w:ind w:firstLineChars="200" w:firstLine="640"/>
        <w:rPr>
          <w:rFonts w:ascii="仿宋_GB2312" w:eastAsia="仿宋_GB2312" w:hAnsi="宋体" w:cs="宋体"/>
          <w:color w:val="000000"/>
          <w:kern w:val="0"/>
          <w:sz w:val="32"/>
          <w:szCs w:val="32"/>
        </w:rPr>
      </w:pPr>
      <w:r w:rsidRPr="00065F52">
        <w:rPr>
          <w:rFonts w:ascii="仿宋_GB2312" w:eastAsia="仿宋_GB2312" w:hAnsi="宋体" w:cs="宋体" w:hint="eastAsia"/>
          <w:color w:val="000000"/>
          <w:kern w:val="0"/>
          <w:sz w:val="32"/>
          <w:szCs w:val="32"/>
        </w:rPr>
        <w:t>为反映近年来</w:t>
      </w:r>
      <w:r w:rsidR="00F911D4">
        <w:rPr>
          <w:rFonts w:ascii="仿宋_GB2312" w:eastAsia="仿宋_GB2312" w:hAnsi="宋体" w:cs="宋体" w:hint="eastAsia"/>
          <w:color w:val="000000"/>
          <w:kern w:val="0"/>
          <w:sz w:val="32"/>
          <w:szCs w:val="32"/>
        </w:rPr>
        <w:t>青岛市</w:t>
      </w:r>
      <w:r w:rsidRPr="00065F52">
        <w:rPr>
          <w:rFonts w:ascii="仿宋_GB2312" w:eastAsia="仿宋_GB2312" w:hAnsi="宋体" w:cs="宋体" w:hint="eastAsia"/>
          <w:color w:val="000000"/>
          <w:kern w:val="0"/>
          <w:sz w:val="32"/>
          <w:szCs w:val="32"/>
        </w:rPr>
        <w:t>第三人撤销之诉案件处理情况，增强社会各界对第三人撤销之诉案件处理工作的认识，统一裁判尺度，调动全社会力量维护</w:t>
      </w:r>
      <w:r w:rsidR="00F911D4">
        <w:rPr>
          <w:rFonts w:ascii="仿宋_GB2312" w:eastAsia="仿宋_GB2312" w:hAnsi="宋体" w:cs="宋体" w:hint="eastAsia"/>
          <w:color w:val="000000"/>
          <w:kern w:val="0"/>
          <w:sz w:val="32"/>
          <w:szCs w:val="32"/>
        </w:rPr>
        <w:t>人民</w:t>
      </w:r>
      <w:r w:rsidRPr="00065F52">
        <w:rPr>
          <w:rFonts w:ascii="仿宋_GB2312" w:eastAsia="仿宋_GB2312" w:hAnsi="宋体" w:cs="宋体" w:hint="eastAsia"/>
          <w:color w:val="000000"/>
          <w:kern w:val="0"/>
          <w:sz w:val="32"/>
          <w:szCs w:val="32"/>
        </w:rPr>
        <w:t>合法权益，促进</w:t>
      </w:r>
      <w:r w:rsidR="00F911D4">
        <w:rPr>
          <w:rFonts w:ascii="仿宋_GB2312" w:eastAsia="仿宋_GB2312" w:hAnsi="宋体" w:cs="宋体" w:hint="eastAsia"/>
          <w:color w:val="000000"/>
          <w:kern w:val="0"/>
          <w:sz w:val="32"/>
          <w:szCs w:val="32"/>
        </w:rPr>
        <w:t>青岛</w:t>
      </w:r>
      <w:r w:rsidRPr="00065F52">
        <w:rPr>
          <w:rFonts w:ascii="仿宋_GB2312" w:eastAsia="仿宋_GB2312" w:hAnsi="宋体" w:cs="宋体" w:hint="eastAsia"/>
          <w:color w:val="000000"/>
          <w:kern w:val="0"/>
          <w:sz w:val="32"/>
          <w:szCs w:val="32"/>
        </w:rPr>
        <w:t>安定、健康发展</w:t>
      </w:r>
      <w:r w:rsidR="00304EB9">
        <w:rPr>
          <w:rFonts w:ascii="仿宋_GB2312" w:eastAsia="仿宋_GB2312" w:hAnsi="宋体" w:cs="宋体" w:hint="eastAsia"/>
          <w:color w:val="000000"/>
          <w:kern w:val="0"/>
          <w:sz w:val="32"/>
          <w:szCs w:val="32"/>
        </w:rPr>
        <w:t>；</w:t>
      </w:r>
      <w:r w:rsidRPr="00065F52">
        <w:rPr>
          <w:rFonts w:ascii="仿宋_GB2312" w:eastAsia="仿宋_GB2312" w:hAnsi="宋体" w:cs="宋体" w:hint="eastAsia"/>
          <w:color w:val="000000"/>
          <w:kern w:val="0"/>
          <w:sz w:val="32"/>
          <w:szCs w:val="32"/>
        </w:rPr>
        <w:t>近日，青岛市中级人民法院对2013-2019年全国第三人撤销之诉纠纷案件以及2017-2019年青岛市第三人撤销之诉纠纷案件处理情况进行了全面的总结分析，指出了当前第三人撤销之诉纠纷案件中存在的突出问题，明确了该类纠纷的主要裁判规则，提出了多方预防化解纠纷、维护当事人合法权益的相关建议，</w:t>
      </w:r>
      <w:r w:rsidRPr="00065F52">
        <w:rPr>
          <w:rFonts w:ascii="仿宋_GB2312" w:eastAsia="仿宋_GB2312" w:hAnsi="宋体" w:hint="eastAsia"/>
          <w:sz w:val="32"/>
          <w:szCs w:val="32"/>
        </w:rPr>
        <w:t>为优化市场化、法治化、国际化营商环境</w:t>
      </w:r>
      <w:r w:rsidRPr="00065F52">
        <w:rPr>
          <w:rFonts w:ascii="仿宋_GB2312" w:eastAsia="仿宋_GB2312" w:hAnsi="宋体" w:cs="宋体" w:hint="eastAsia"/>
          <w:color w:val="000000"/>
          <w:kern w:val="0"/>
          <w:sz w:val="32"/>
          <w:szCs w:val="32"/>
        </w:rPr>
        <w:t>、</w:t>
      </w:r>
      <w:r w:rsidRPr="00065F52">
        <w:rPr>
          <w:rFonts w:ascii="仿宋_GB2312" w:eastAsia="仿宋_GB2312" w:hAnsi="宋体" w:hint="eastAsia"/>
          <w:sz w:val="32"/>
          <w:szCs w:val="32"/>
        </w:rPr>
        <w:t>推动</w:t>
      </w:r>
      <w:r w:rsidR="00F911D4">
        <w:rPr>
          <w:rFonts w:ascii="仿宋_GB2312" w:eastAsia="仿宋_GB2312" w:hAnsi="宋体" w:hint="eastAsia"/>
          <w:sz w:val="32"/>
          <w:szCs w:val="32"/>
        </w:rPr>
        <w:t>青岛</w:t>
      </w:r>
      <w:r w:rsidRPr="00065F52">
        <w:rPr>
          <w:rFonts w:ascii="仿宋_GB2312" w:eastAsia="仿宋_GB2312" w:hAnsi="宋体" w:cs="宋体" w:hint="eastAsia"/>
          <w:color w:val="000000"/>
          <w:kern w:val="0"/>
          <w:sz w:val="32"/>
          <w:szCs w:val="32"/>
        </w:rPr>
        <w:t>市场经济</w:t>
      </w:r>
      <w:r w:rsidRPr="00065F52">
        <w:rPr>
          <w:rFonts w:ascii="仿宋_GB2312" w:eastAsia="仿宋_GB2312" w:hAnsi="宋体" w:hint="eastAsia"/>
          <w:sz w:val="32"/>
          <w:szCs w:val="32"/>
        </w:rPr>
        <w:t>高质量发展，</w:t>
      </w:r>
      <w:r w:rsidRPr="00065F52">
        <w:rPr>
          <w:rFonts w:ascii="仿宋_GB2312" w:eastAsia="仿宋_GB2312" w:hAnsi="宋体" w:cs="宋体" w:hint="eastAsia"/>
          <w:color w:val="000000"/>
          <w:kern w:val="0"/>
          <w:sz w:val="32"/>
          <w:szCs w:val="32"/>
        </w:rPr>
        <w:t>维护广大人民群众</w:t>
      </w:r>
      <w:r w:rsidRPr="00065F52">
        <w:rPr>
          <w:rFonts w:ascii="仿宋_GB2312" w:eastAsia="仿宋_GB2312" w:hAnsi="宋体" w:cs="宋体" w:hint="eastAsia"/>
          <w:color w:val="000000"/>
          <w:kern w:val="0"/>
          <w:sz w:val="32"/>
          <w:szCs w:val="32"/>
        </w:rPr>
        <w:lastRenderedPageBreak/>
        <w:t>的根本利益提供有力司法保障。</w:t>
      </w:r>
    </w:p>
    <w:p w:rsidR="001503D0" w:rsidRPr="00065F52" w:rsidRDefault="001503D0" w:rsidP="001503D0">
      <w:pPr>
        <w:snapToGrid w:val="0"/>
        <w:spacing w:line="560" w:lineRule="exact"/>
        <w:ind w:firstLineChars="200" w:firstLine="640"/>
        <w:rPr>
          <w:rFonts w:ascii="仿宋_GB2312" w:eastAsia="仿宋_GB2312" w:hAnsi="宋体" w:cs="宋体"/>
          <w:color w:val="000000"/>
          <w:kern w:val="0"/>
          <w:sz w:val="32"/>
          <w:szCs w:val="32"/>
        </w:rPr>
      </w:pPr>
    </w:p>
    <w:p w:rsidR="001503D0" w:rsidRPr="00065F52" w:rsidRDefault="001503D0" w:rsidP="001503D0">
      <w:pPr>
        <w:spacing w:line="560" w:lineRule="exact"/>
        <w:ind w:firstLineChars="200" w:firstLine="640"/>
        <w:rPr>
          <w:rStyle w:val="NormalCharacter"/>
          <w:rFonts w:ascii="仿宋_GB2312" w:eastAsia="仿宋_GB2312"/>
          <w:sz w:val="32"/>
          <w:szCs w:val="32"/>
        </w:rPr>
      </w:pPr>
    </w:p>
    <w:p w:rsidR="001503D0" w:rsidRPr="00065F52" w:rsidRDefault="001503D0" w:rsidP="001503D0">
      <w:pPr>
        <w:pStyle w:val="1"/>
        <w:spacing w:before="0" w:after="0"/>
        <w:jc w:val="center"/>
        <w:rPr>
          <w:rStyle w:val="NormalCharacter"/>
          <w:rFonts w:ascii="方正小标宋简体" w:eastAsia="方正小标宋简体"/>
          <w:b w:val="0"/>
          <w:sz w:val="32"/>
          <w:szCs w:val="32"/>
        </w:rPr>
      </w:pPr>
      <w:bookmarkStart w:id="102" w:name="_Toc36114036"/>
      <w:r w:rsidRPr="00065F52">
        <w:rPr>
          <w:rStyle w:val="NormalCharacter"/>
          <w:rFonts w:ascii="方正小标宋简体" w:eastAsia="方正小标宋简体" w:hint="eastAsia"/>
          <w:b w:val="0"/>
          <w:sz w:val="32"/>
          <w:szCs w:val="32"/>
        </w:rPr>
        <w:t>第一章 第三人撤销之诉</w:t>
      </w:r>
      <w:proofErr w:type="gramStart"/>
      <w:r w:rsidRPr="00065F52">
        <w:rPr>
          <w:rStyle w:val="NormalCharacter"/>
          <w:rFonts w:ascii="方正小标宋简体" w:eastAsia="方正小标宋简体" w:hint="eastAsia"/>
          <w:b w:val="0"/>
          <w:sz w:val="32"/>
          <w:szCs w:val="32"/>
        </w:rPr>
        <w:t>纠纷审调概况</w:t>
      </w:r>
      <w:bookmarkEnd w:id="102"/>
      <w:proofErr w:type="gramEnd"/>
    </w:p>
    <w:p w:rsidR="001503D0" w:rsidRPr="00065F52" w:rsidRDefault="001503D0" w:rsidP="001503D0">
      <w:pPr>
        <w:pStyle w:val="2"/>
        <w:spacing w:before="0" w:after="0"/>
        <w:ind w:firstLineChars="200" w:firstLine="640"/>
        <w:rPr>
          <w:rStyle w:val="NormalCharacter"/>
          <w:rFonts w:ascii="黑体" w:eastAsia="黑体" w:hAnsi="黑体"/>
          <w:b w:val="0"/>
          <w:bCs w:val="0"/>
        </w:rPr>
      </w:pPr>
      <w:bookmarkStart w:id="103" w:name="_Toc36114037"/>
      <w:r w:rsidRPr="00065F52">
        <w:rPr>
          <w:rStyle w:val="NormalCharacter"/>
          <w:rFonts w:ascii="黑体" w:eastAsia="黑体" w:hAnsi="黑体" w:hint="eastAsia"/>
          <w:b w:val="0"/>
        </w:rPr>
        <w:t>一</w:t>
      </w:r>
      <w:r w:rsidRPr="00065F52">
        <w:rPr>
          <w:rStyle w:val="NormalCharacter"/>
          <w:rFonts w:ascii="黑体" w:eastAsia="黑体" w:hAnsi="黑体"/>
          <w:b w:val="0"/>
        </w:rPr>
        <w:t>、全国第三人撤销之诉纠纷案件总体态势</w:t>
      </w:r>
      <w:bookmarkEnd w:id="103"/>
    </w:p>
    <w:p w:rsidR="001503D0" w:rsidRPr="00065F52" w:rsidRDefault="001503D0" w:rsidP="001503D0">
      <w:pPr>
        <w:spacing w:line="560" w:lineRule="exact"/>
        <w:ind w:firstLineChars="200" w:firstLine="640"/>
        <w:rPr>
          <w:rStyle w:val="NormalCharacter"/>
          <w:rFonts w:ascii="仿宋_GB2312" w:eastAsia="仿宋_GB2312"/>
          <w:sz w:val="32"/>
          <w:szCs w:val="32"/>
        </w:rPr>
      </w:pPr>
      <w:r w:rsidRPr="00065F52">
        <w:rPr>
          <w:rStyle w:val="NormalCharacter"/>
          <w:rFonts w:ascii="仿宋_GB2312" w:eastAsia="仿宋_GB2312"/>
          <w:sz w:val="32"/>
          <w:szCs w:val="32"/>
        </w:rPr>
        <w:t>以下就</w:t>
      </w:r>
      <w:r w:rsidR="00F911D4">
        <w:rPr>
          <w:rStyle w:val="NormalCharacter"/>
          <w:rFonts w:ascii="仿宋_GB2312" w:eastAsia="仿宋_GB2312" w:hint="eastAsia"/>
          <w:sz w:val="32"/>
          <w:szCs w:val="32"/>
        </w:rPr>
        <w:t>在</w:t>
      </w:r>
      <w:r w:rsidRPr="00065F52">
        <w:rPr>
          <w:rStyle w:val="NormalCharacter"/>
          <w:rFonts w:ascii="仿宋_GB2312" w:eastAsia="仿宋_GB2312"/>
          <w:sz w:val="32"/>
          <w:szCs w:val="32"/>
        </w:rPr>
        <w:t>全国</w:t>
      </w:r>
      <w:r w:rsidR="00F911D4">
        <w:rPr>
          <w:rStyle w:val="NormalCharacter"/>
          <w:rFonts w:ascii="仿宋_GB2312" w:eastAsia="仿宋_GB2312" w:hint="eastAsia"/>
          <w:sz w:val="32"/>
          <w:szCs w:val="32"/>
        </w:rPr>
        <w:t>范围</w:t>
      </w:r>
      <w:r w:rsidRPr="00065F52">
        <w:rPr>
          <w:rStyle w:val="NormalCharacter"/>
          <w:rFonts w:ascii="仿宋_GB2312" w:eastAsia="仿宋_GB2312"/>
          <w:sz w:val="32"/>
          <w:szCs w:val="32"/>
        </w:rPr>
        <w:t>搜索到的24434篇裁判文书</w:t>
      </w:r>
      <w:r w:rsidR="00F6430B" w:rsidRPr="00ED6878">
        <w:rPr>
          <w:rStyle w:val="NormalCharacter"/>
          <w:rFonts w:ascii="仿宋_GB2312" w:eastAsia="仿宋_GB2312" w:hint="eastAsia"/>
          <w:sz w:val="32"/>
          <w:szCs w:val="32"/>
        </w:rPr>
        <w:t>分析</w:t>
      </w:r>
      <w:r w:rsidRPr="00ED6878">
        <w:rPr>
          <w:rStyle w:val="NormalCharacter"/>
          <w:rFonts w:ascii="仿宋_GB2312" w:eastAsia="仿宋_GB2312"/>
          <w:sz w:val="32"/>
          <w:szCs w:val="32"/>
        </w:rPr>
        <w:t>第三</w:t>
      </w:r>
      <w:r w:rsidRPr="00065F52">
        <w:rPr>
          <w:rStyle w:val="NormalCharacter"/>
          <w:rFonts w:ascii="仿宋_GB2312" w:eastAsia="仿宋_GB2312"/>
          <w:sz w:val="32"/>
          <w:szCs w:val="32"/>
        </w:rPr>
        <w:t>人撤销之诉纠纷案件的情况。</w:t>
      </w:r>
    </w:p>
    <w:p w:rsidR="001503D0" w:rsidRPr="00065F52" w:rsidRDefault="001503D0" w:rsidP="001503D0">
      <w:pPr>
        <w:pStyle w:val="Heading2"/>
        <w:numPr>
          <w:ilvl w:val="0"/>
          <w:numId w:val="0"/>
        </w:numPr>
        <w:spacing w:before="0" w:after="0" w:line="560" w:lineRule="exact"/>
        <w:ind w:firstLineChars="200" w:firstLine="640"/>
        <w:rPr>
          <w:rStyle w:val="NormalCharacter"/>
          <w:rFonts w:ascii="仿宋_GB2312" w:eastAsia="仿宋_GB2312"/>
          <w:sz w:val="32"/>
          <w:szCs w:val="32"/>
        </w:rPr>
      </w:pPr>
      <w:r w:rsidRPr="00065F52">
        <w:rPr>
          <w:rStyle w:val="NormalCharacter"/>
          <w:rFonts w:ascii="仿宋_GB2312" w:eastAsia="仿宋_GB2312"/>
          <w:sz w:val="32"/>
          <w:szCs w:val="32"/>
        </w:rPr>
        <w:t>1、</w:t>
      </w:r>
      <w:r w:rsidRPr="00065F52">
        <w:rPr>
          <w:rStyle w:val="NormalCharacter"/>
          <w:rFonts w:ascii="仿宋_GB2312" w:eastAsia="仿宋_GB2312" w:hint="eastAsia"/>
          <w:sz w:val="32"/>
          <w:szCs w:val="32"/>
        </w:rPr>
        <w:t>案件数量分析</w:t>
      </w:r>
    </w:p>
    <w:p w:rsidR="001503D0" w:rsidRPr="00065F52" w:rsidRDefault="001503D0" w:rsidP="001503D0">
      <w:pPr>
        <w:pStyle w:val="Heading2"/>
        <w:numPr>
          <w:ilvl w:val="0"/>
          <w:numId w:val="0"/>
        </w:numPr>
        <w:spacing w:before="0" w:after="0" w:line="560" w:lineRule="exact"/>
        <w:ind w:firstLineChars="200" w:firstLine="640"/>
        <w:rPr>
          <w:rStyle w:val="NormalCharacter"/>
          <w:rFonts w:ascii="仿宋_GB2312" w:eastAsia="仿宋_GB2312"/>
          <w:sz w:val="32"/>
          <w:szCs w:val="32"/>
        </w:rPr>
      </w:pPr>
      <w:r w:rsidRPr="00065F52">
        <w:rPr>
          <w:rStyle w:val="NormalCharacter"/>
          <w:rFonts w:ascii="仿宋_GB2312" w:eastAsia="仿宋_GB2312"/>
          <w:sz w:val="32"/>
          <w:szCs w:val="32"/>
        </w:rPr>
        <w:t>整体情况</w:t>
      </w:r>
      <w:r w:rsidR="00F6430B">
        <w:rPr>
          <w:rStyle w:val="NormalCharacter"/>
          <w:rFonts w:ascii="仿宋_GB2312" w:eastAsia="仿宋_GB2312" w:hint="eastAsia"/>
          <w:sz w:val="32"/>
          <w:szCs w:val="32"/>
        </w:rPr>
        <w:t>上</w:t>
      </w:r>
      <w:r w:rsidRPr="00065F52">
        <w:rPr>
          <w:rStyle w:val="NormalCharacter"/>
          <w:rFonts w:ascii="仿宋_GB2312" w:eastAsia="仿宋_GB2312"/>
          <w:sz w:val="32"/>
          <w:szCs w:val="32"/>
        </w:rPr>
        <w:t>，</w:t>
      </w:r>
      <w:r w:rsidR="00F6430B">
        <w:rPr>
          <w:rStyle w:val="NormalCharacter"/>
          <w:rFonts w:ascii="仿宋_GB2312" w:eastAsia="仿宋_GB2312" w:hint="eastAsia"/>
          <w:sz w:val="32"/>
          <w:szCs w:val="32"/>
        </w:rPr>
        <w:t>从公开的裁判文书看，</w:t>
      </w:r>
      <w:r w:rsidRPr="00065F52">
        <w:rPr>
          <w:rStyle w:val="NormalCharacter"/>
          <w:rFonts w:ascii="仿宋_GB2312" w:eastAsia="仿宋_GB2312"/>
          <w:sz w:val="32"/>
          <w:szCs w:val="32"/>
        </w:rPr>
        <w:t>案例数量基本呈逐年增长趋势。</w:t>
      </w:r>
    </w:p>
    <w:p w:rsidR="001503D0" w:rsidRPr="00065F52" w:rsidRDefault="00842E27" w:rsidP="001503D0">
      <w:pPr>
        <w:rPr>
          <w:rStyle w:val="NormalCharacter"/>
        </w:rPr>
      </w:pPr>
      <w:r w:rsidRPr="00842E27">
        <w:rPr>
          <w:rStyle w:val="NormalCharacter"/>
        </w:rPr>
        <w:pict>
          <v:shape id=" 12" o:spid="_x0000_s1080" style="position:absolute;left:0;text-align:left;margin-left:0;margin-top:0;width:50pt;height:50pt;z-index:251691008;visibility:hidden" coordsize="21600,21600" o:spt="100"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MH2a+joAQAA7AMAAA4AAABkcnMvZTJvRG9jLnhtbKxT247TMBB9R+IfLL/TJKW7QNR0hVgt&#10;QlpgpWU/wLWdxiLxmLHTpHw9Y6dNCyvxgHix5mKfmTlzvL4Zu5btNXoDtuLFIudMWwnK2F3Fn77d&#10;vXrLmQ/CKtGC1RU/aM9vNi9frAdX6iU00CqNjECsLwdX8SYEV2aZl43uhF+A05aSNWAnArm4yxSK&#10;gdC7Nlvm+XU2ACqHILX3FL2dknyT8Otay/C1rr0OrK049RbSiencpjPbrEW5Q+EaI499iH9ooxPG&#10;UtUZ6lYEwXo0z6A6IxE81GEhocugro3UaQgap8j/GOexEU6nYYgd72ae/P+DlV/2D8iMouUVnFnR&#10;0ZJYseSsMUrpuFPOiKPB+ZKuProHjFN6dw/yu4+Z7LdUdDxdYtvhMyjCEn2ARMxYYxef0shsTNQf&#10;zgvQY2CSotevr/Kc9iQpd7JjDVGensveh48aEpTY3/sQeyDa1WyKZjblaGcbSQt/V4ET4fSUCl4W&#10;snBn2naq1NpY7xyhqzGUaIiTT1xtQR2IBYRJcfRDyGgAf3I2kNgq7n/0AjVn7SdL23xXrFZRnslZ&#10;Xb1ZkoOXme1lRlhJUBUPnE3mhzBJundodg1VKhLlFt4T+7VJHKUGp7aO3ZKiErVH9UfJXvrp1vmT&#10;bn4BAAD//wMAUEsDBBQABgAIAAAAIQBMi4Kz2gAAAAsBAAAPAAAAZHJzL2Rvd25yZXYueG1sTE/R&#10;SsNAEHwX/IdjBV/E3lU0lDSXIi36aLDtB1xzaxK824u5a5r+vVtB9GXYYZjZmWI1eSdGHGIXSMN8&#10;pkAg1cF21GjY717uFyBiMmSNC4QazhhhVV5fFSa34UTvOG5TIziEYm40tCn1uZSxbtGbOAs9Emsf&#10;YfAmMR0aaQdz4nDv5INSmfSmI/7Qmh7XLdaf26PX4DZ3X3bx+NSc5/ssq97W42u1q7S+vZk2S4bn&#10;JYiEU/pzwGUD94eSix3CkWwUTgOvST940ZRievg9ZFnI/xvKbwAAAP//AwBQSwECLQAUAAYACAAA&#10;ACEAWiKTo/8AAADlAQAAEwAAAAAAAAAAAAAAAAAAAAAAW0NvbnRlbnRfVHlwZXNdLnhtbFBLAQIt&#10;ABQABgAIAAAAIQCnSs841wAAAJYBAAALAAAAAAAAAAAAAAAAADABAABfcmVscy8ucmVsc1BLAQIt&#10;ABQABgAIAAAAIQDB9mvo6AEAAOwDAAAOAAAAAAAAAAAAAAAAADACAABkcnMvZTJvRG9jLnhtbFBL&#10;AQItABQABgAIAAAAIQBMi4Kz2gAAAAsBAAAPAAAAAAAAAAAAAAAAAEQEAABkcnMvZG93bnJldi54&#10;bWxQSwUGAAAAAAQABADzAAAASwUAAAAAQUVRRUFBQmtjbk12Wkc5M2JuSmx=&#10;" adj="0,,0" path="" filled="f" stroked="f">
            <v:stroke joinstyle="round"/>
            <v:formulas/>
            <v:path arrowok="t" o:connecttype="segments"/>
          </v:shape>
        </w:pict>
      </w:r>
    </w:p>
    <w:p w:rsidR="001503D0" w:rsidRPr="00065F52" w:rsidRDefault="001503D0" w:rsidP="001503D0">
      <w:pPr>
        <w:rPr>
          <w:rStyle w:val="NormalCharacter"/>
        </w:rPr>
      </w:pPr>
      <w:r w:rsidRPr="00065F52">
        <w:rPr>
          <w:noProof/>
        </w:rPr>
        <w:drawing>
          <wp:inline distT="0" distB="0" distL="114300" distR="114300">
            <wp:extent cx="4076700" cy="2413000"/>
            <wp:effectExtent l="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5" cstate="print"/>
                    <a:srcRect t="8873"/>
                    <a:stretch>
                      <a:fillRect/>
                    </a:stretch>
                  </pic:blipFill>
                  <pic:spPr>
                    <a:xfrm>
                      <a:off x="0" y="0"/>
                      <a:ext cx="4076700" cy="2413000"/>
                    </a:xfrm>
                    <a:prstGeom prst="rect">
                      <a:avLst/>
                    </a:prstGeom>
                    <a:noFill/>
                    <a:ln>
                      <a:noFill/>
                    </a:ln>
                  </pic:spPr>
                </pic:pic>
              </a:graphicData>
            </a:graphic>
          </wp:inline>
        </w:drawing>
      </w:r>
    </w:p>
    <w:p w:rsidR="001503D0" w:rsidRPr="00065F52" w:rsidRDefault="001503D0" w:rsidP="001503D0">
      <w:pPr>
        <w:spacing w:line="560" w:lineRule="exact"/>
        <w:rPr>
          <w:rStyle w:val="NormalCharacter"/>
          <w:rFonts w:ascii="仿宋_GB2312" w:eastAsia="仿宋_GB2312"/>
          <w:bCs/>
          <w:sz w:val="32"/>
          <w:szCs w:val="32"/>
        </w:rPr>
      </w:pPr>
      <w:r w:rsidRPr="00065F52">
        <w:rPr>
          <w:rStyle w:val="NormalCharacter"/>
          <w:rFonts w:ascii="仿宋_GB2312" w:eastAsia="仿宋_GB2312" w:hint="eastAsia"/>
          <w:bCs/>
          <w:sz w:val="32"/>
          <w:szCs w:val="32"/>
        </w:rPr>
        <w:t xml:space="preserve">    2、案件所涉行业分布情况</w:t>
      </w:r>
    </w:p>
    <w:p w:rsidR="001503D0" w:rsidRPr="00065F52" w:rsidRDefault="001503D0" w:rsidP="00F6430B">
      <w:pPr>
        <w:spacing w:line="560" w:lineRule="exact"/>
        <w:ind w:firstLineChars="200" w:firstLine="640"/>
        <w:rPr>
          <w:rStyle w:val="NormalCharacter"/>
          <w:rFonts w:ascii="仿宋_GB2312" w:eastAsia="仿宋_GB2312"/>
          <w:bCs/>
          <w:sz w:val="32"/>
          <w:szCs w:val="32"/>
        </w:rPr>
      </w:pPr>
      <w:r w:rsidRPr="00065F52">
        <w:rPr>
          <w:rStyle w:val="NormalCharacter"/>
          <w:rFonts w:ascii="仿宋_GB2312" w:eastAsia="仿宋_GB2312"/>
          <w:bCs/>
          <w:sz w:val="32"/>
          <w:szCs w:val="32"/>
        </w:rPr>
        <w:t>从</w:t>
      </w:r>
      <w:r w:rsidRPr="00065F52">
        <w:rPr>
          <w:rStyle w:val="NormalCharacter"/>
          <w:rFonts w:ascii="仿宋_GB2312" w:eastAsia="仿宋_GB2312" w:hint="eastAsia"/>
          <w:bCs/>
          <w:sz w:val="32"/>
          <w:szCs w:val="32"/>
        </w:rPr>
        <w:t>涉及的行业分布</w:t>
      </w:r>
      <w:r w:rsidRPr="00065F52">
        <w:rPr>
          <w:rStyle w:val="NormalCharacter"/>
          <w:rFonts w:ascii="仿宋_GB2312" w:eastAsia="仿宋_GB2312"/>
          <w:bCs/>
          <w:sz w:val="32"/>
          <w:szCs w:val="32"/>
        </w:rPr>
        <w:t>来看，</w:t>
      </w:r>
      <w:r w:rsidRPr="00065F52">
        <w:rPr>
          <w:rStyle w:val="NormalCharacter"/>
          <w:rFonts w:ascii="仿宋_GB2312" w:eastAsia="仿宋_GB2312" w:hint="eastAsia"/>
          <w:bCs/>
          <w:sz w:val="32"/>
          <w:szCs w:val="32"/>
        </w:rPr>
        <w:t>以房地产业居多</w:t>
      </w:r>
      <w:r w:rsidRPr="00065F52">
        <w:rPr>
          <w:rStyle w:val="NormalCharacter"/>
          <w:rFonts w:ascii="仿宋_GB2312" w:eastAsia="仿宋_GB2312"/>
          <w:bCs/>
          <w:sz w:val="32"/>
          <w:szCs w:val="32"/>
        </w:rPr>
        <w:t>，</w:t>
      </w:r>
      <w:r w:rsidRPr="00065F52">
        <w:rPr>
          <w:rStyle w:val="NormalCharacter"/>
          <w:rFonts w:ascii="仿宋_GB2312" w:eastAsia="仿宋_GB2312" w:hint="eastAsia"/>
          <w:bCs/>
          <w:sz w:val="32"/>
          <w:szCs w:val="32"/>
        </w:rPr>
        <w:t>金融业、批发零售业、建筑业、制造业也占有不少比例。</w:t>
      </w:r>
    </w:p>
    <w:p w:rsidR="001503D0" w:rsidRPr="00065F52" w:rsidRDefault="001503D0" w:rsidP="001503D0">
      <w:pPr>
        <w:spacing w:line="360" w:lineRule="auto"/>
        <w:rPr>
          <w:rStyle w:val="NormalCharacter"/>
        </w:rPr>
      </w:pPr>
    </w:p>
    <w:p w:rsidR="001503D0" w:rsidRPr="00065F52" w:rsidRDefault="001503D0" w:rsidP="001503D0">
      <w:pPr>
        <w:spacing w:line="360" w:lineRule="auto"/>
        <w:rPr>
          <w:rStyle w:val="NormalCharacter"/>
        </w:rPr>
      </w:pPr>
      <w:r w:rsidRPr="00065F52">
        <w:rPr>
          <w:rStyle w:val="NormalCharacter"/>
          <w:rFonts w:ascii="仿宋_GB2312" w:eastAsia="仿宋_GB2312" w:hint="eastAsia"/>
          <w:bCs/>
          <w:noProof/>
          <w:sz w:val="32"/>
          <w:szCs w:val="32"/>
        </w:rPr>
        <w:lastRenderedPageBreak/>
        <w:drawing>
          <wp:inline distT="0" distB="0" distL="114300" distR="114300">
            <wp:extent cx="4517390" cy="2583815"/>
            <wp:effectExtent l="0" t="0" r="3810" b="6985"/>
            <wp:docPr id="5" name="图片 7" descr="052db1db9837327b4acf520fd5503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052db1db9837327b4acf520fd5503ad"/>
                    <pic:cNvPicPr>
                      <a:picLocks noChangeAspect="1"/>
                    </pic:cNvPicPr>
                  </pic:nvPicPr>
                  <pic:blipFill>
                    <a:blip r:embed="rId16" cstate="print"/>
                    <a:stretch>
                      <a:fillRect/>
                    </a:stretch>
                  </pic:blipFill>
                  <pic:spPr>
                    <a:xfrm>
                      <a:off x="0" y="0"/>
                      <a:ext cx="4517390" cy="2583815"/>
                    </a:xfrm>
                    <a:prstGeom prst="rect">
                      <a:avLst/>
                    </a:prstGeom>
                  </pic:spPr>
                </pic:pic>
              </a:graphicData>
            </a:graphic>
          </wp:inline>
        </w:drawing>
      </w:r>
    </w:p>
    <w:p w:rsidR="001503D0" w:rsidRPr="00065F52" w:rsidRDefault="001503D0" w:rsidP="001503D0">
      <w:pPr>
        <w:rPr>
          <w:rStyle w:val="NormalCharacter"/>
          <w:rFonts w:ascii="仿宋_GB2312" w:eastAsia="仿宋_GB2312"/>
          <w:bCs/>
          <w:sz w:val="32"/>
          <w:szCs w:val="32"/>
        </w:rPr>
      </w:pPr>
      <w:r w:rsidRPr="00065F52">
        <w:rPr>
          <w:rStyle w:val="NormalCharacter"/>
          <w:rFonts w:ascii="仿宋_GB2312" w:eastAsia="仿宋_GB2312" w:hint="eastAsia"/>
          <w:bCs/>
          <w:sz w:val="32"/>
          <w:szCs w:val="32"/>
        </w:rPr>
        <w:t xml:space="preserve">    3、裁判结果分析</w:t>
      </w:r>
    </w:p>
    <w:p w:rsidR="001503D0" w:rsidRPr="00065F52" w:rsidRDefault="001503D0" w:rsidP="005F55B3">
      <w:pPr>
        <w:ind w:firstLineChars="200" w:firstLine="640"/>
        <w:rPr>
          <w:rStyle w:val="NormalCharacter"/>
          <w:rFonts w:ascii="仿宋_GB2312" w:eastAsia="仿宋_GB2312"/>
          <w:bCs/>
          <w:sz w:val="32"/>
          <w:szCs w:val="32"/>
        </w:rPr>
      </w:pPr>
      <w:r w:rsidRPr="00065F52">
        <w:rPr>
          <w:rStyle w:val="NormalCharacter"/>
          <w:rFonts w:ascii="仿宋_GB2312" w:eastAsia="仿宋_GB2312"/>
          <w:bCs/>
          <w:sz w:val="32"/>
          <w:szCs w:val="32"/>
        </w:rPr>
        <w:t>从裁判结果来看，</w:t>
      </w:r>
      <w:r w:rsidRPr="00065F52">
        <w:rPr>
          <w:rStyle w:val="NormalCharacter"/>
          <w:rFonts w:ascii="仿宋_GB2312" w:eastAsia="仿宋_GB2312" w:hint="eastAsia"/>
          <w:bCs/>
          <w:sz w:val="32"/>
          <w:szCs w:val="32"/>
        </w:rPr>
        <w:t>一审程序中，驳回诉讼请求的1950件，占比9.8%；驳回起诉的1733件，占比8.8%；判决支持的1771件，占比8.9%；撤诉或按撤诉处理的1879件，占比9.5%；不予受理的824件，占比4.1%；二审和再审程序中，维持原判的7625件，占比 38.3%；改判的1342件，占比6.7%；发回重审的532件，占比2.7%；提审或按指令审理的232件，占比1.2%，其他情形如尚未审结的1997件，占比10%。</w:t>
      </w:r>
    </w:p>
    <w:p w:rsidR="001503D0" w:rsidRPr="00065F52" w:rsidRDefault="001503D0" w:rsidP="001503D0">
      <w:pPr>
        <w:ind w:leftChars="200" w:left="420"/>
        <w:rPr>
          <w:rStyle w:val="NormalCharacter"/>
          <w:rFonts w:ascii="仿宋_GB2312" w:eastAsia="仿宋_GB2312"/>
          <w:bCs/>
          <w:sz w:val="32"/>
          <w:szCs w:val="32"/>
        </w:rPr>
      </w:pPr>
      <w:r w:rsidRPr="00065F52">
        <w:rPr>
          <w:noProof/>
        </w:rPr>
        <w:drawing>
          <wp:inline distT="0" distB="0" distL="114300" distR="114300">
            <wp:extent cx="4057650" cy="2336800"/>
            <wp:effectExtent l="0" t="0" r="6350" b="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7" cstate="print"/>
                    <a:srcRect t="9136"/>
                    <a:stretch>
                      <a:fillRect/>
                    </a:stretch>
                  </pic:blipFill>
                  <pic:spPr>
                    <a:xfrm>
                      <a:off x="0" y="0"/>
                      <a:ext cx="4057650" cy="2336800"/>
                    </a:xfrm>
                    <a:prstGeom prst="rect">
                      <a:avLst/>
                    </a:prstGeom>
                    <a:noFill/>
                    <a:ln>
                      <a:noFill/>
                    </a:ln>
                  </pic:spPr>
                </pic:pic>
              </a:graphicData>
            </a:graphic>
          </wp:inline>
        </w:drawing>
      </w:r>
    </w:p>
    <w:p w:rsidR="001503D0" w:rsidRPr="00065F52" w:rsidRDefault="001503D0" w:rsidP="001503D0">
      <w:pPr>
        <w:pStyle w:val="2"/>
        <w:spacing w:before="0" w:after="0"/>
        <w:ind w:firstLineChars="200" w:firstLine="640"/>
        <w:rPr>
          <w:rStyle w:val="NormalCharacter"/>
          <w:rFonts w:ascii="黑体" w:eastAsia="黑体" w:hAnsi="黑体"/>
          <w:b w:val="0"/>
          <w:bCs w:val="0"/>
        </w:rPr>
      </w:pPr>
      <w:bookmarkStart w:id="104" w:name="_Toc36114038"/>
      <w:r w:rsidRPr="00065F52">
        <w:rPr>
          <w:rStyle w:val="NormalCharacter"/>
          <w:rFonts w:ascii="黑体" w:eastAsia="黑体" w:hAnsi="黑体"/>
          <w:b w:val="0"/>
        </w:rPr>
        <w:lastRenderedPageBreak/>
        <w:t>二</w:t>
      </w:r>
      <w:r w:rsidRPr="00065F52">
        <w:rPr>
          <w:rStyle w:val="NormalCharacter"/>
          <w:rFonts w:ascii="黑体" w:eastAsia="黑体" w:hAnsi="黑体" w:hint="eastAsia"/>
          <w:b w:val="0"/>
        </w:rPr>
        <w:t>、</w:t>
      </w:r>
      <w:r w:rsidRPr="00065F52">
        <w:rPr>
          <w:rStyle w:val="NormalCharacter"/>
          <w:rFonts w:ascii="黑体" w:eastAsia="黑体" w:hAnsi="黑体"/>
          <w:b w:val="0"/>
        </w:rPr>
        <w:t>青岛市第三人撤销之诉纠纷案件总体态势</w:t>
      </w:r>
      <w:bookmarkEnd w:id="104"/>
    </w:p>
    <w:p w:rsidR="001503D0" w:rsidRPr="00065F52" w:rsidRDefault="001503D0" w:rsidP="001503D0">
      <w:pPr>
        <w:spacing w:line="560" w:lineRule="exact"/>
        <w:ind w:firstLineChars="200" w:firstLine="640"/>
        <w:rPr>
          <w:rStyle w:val="NormalCharacter"/>
          <w:rFonts w:ascii="仿宋_GB2312" w:eastAsia="仿宋_GB2312"/>
          <w:bCs/>
          <w:sz w:val="32"/>
          <w:szCs w:val="32"/>
        </w:rPr>
      </w:pPr>
      <w:r w:rsidRPr="00065F52">
        <w:rPr>
          <w:rStyle w:val="NormalCharacter"/>
          <w:rFonts w:ascii="仿宋_GB2312" w:eastAsia="仿宋_GB2312"/>
          <w:bCs/>
          <w:sz w:val="32"/>
          <w:szCs w:val="32"/>
        </w:rPr>
        <w:t>1、</w:t>
      </w:r>
      <w:r w:rsidRPr="00065F52">
        <w:rPr>
          <w:rStyle w:val="NormalCharacter"/>
          <w:rFonts w:ascii="仿宋_GB2312" w:eastAsia="仿宋_GB2312" w:hint="eastAsia"/>
          <w:bCs/>
          <w:sz w:val="32"/>
          <w:szCs w:val="32"/>
        </w:rPr>
        <w:t>收案情况分析</w:t>
      </w:r>
    </w:p>
    <w:p w:rsidR="001503D0" w:rsidRPr="00065F52" w:rsidRDefault="001503D0" w:rsidP="001503D0">
      <w:pPr>
        <w:spacing w:line="560" w:lineRule="exact"/>
        <w:ind w:firstLineChars="200" w:firstLine="640"/>
        <w:rPr>
          <w:rStyle w:val="NormalCharacter"/>
          <w:rFonts w:ascii="仿宋_GB2312" w:eastAsia="仿宋_GB2312"/>
          <w:bCs/>
          <w:color w:val="000000" w:themeColor="text1"/>
          <w:sz w:val="32"/>
          <w:szCs w:val="32"/>
          <w:vertAlign w:val="superscript"/>
        </w:rPr>
      </w:pPr>
      <w:r w:rsidRPr="00065F52">
        <w:rPr>
          <w:rStyle w:val="NormalCharacter"/>
          <w:rFonts w:ascii="仿宋_GB2312" w:eastAsia="仿宋_GB2312"/>
          <w:bCs/>
          <w:sz w:val="32"/>
          <w:szCs w:val="32"/>
        </w:rPr>
        <w:t>从收案数统计情况看，201</w:t>
      </w:r>
      <w:r w:rsidRPr="00065F52">
        <w:rPr>
          <w:rStyle w:val="NormalCharacter"/>
          <w:rFonts w:ascii="仿宋_GB2312" w:eastAsia="仿宋_GB2312" w:hint="eastAsia"/>
          <w:bCs/>
          <w:sz w:val="32"/>
          <w:szCs w:val="32"/>
        </w:rPr>
        <w:t>7</w:t>
      </w:r>
      <w:r w:rsidRPr="00065F52">
        <w:rPr>
          <w:rStyle w:val="NormalCharacter"/>
          <w:rFonts w:ascii="仿宋_GB2312" w:eastAsia="仿宋_GB2312"/>
          <w:bCs/>
          <w:sz w:val="32"/>
          <w:szCs w:val="32"/>
        </w:rPr>
        <w:t>年至2019年，</w:t>
      </w:r>
      <w:r w:rsidR="00AB3362">
        <w:rPr>
          <w:rStyle w:val="NormalCharacter"/>
          <w:rFonts w:ascii="仿宋_GB2312" w:eastAsia="仿宋_GB2312" w:hint="eastAsia"/>
          <w:bCs/>
          <w:sz w:val="32"/>
          <w:szCs w:val="32"/>
        </w:rPr>
        <w:t>青岛</w:t>
      </w:r>
      <w:r w:rsidR="004B7EF8">
        <w:rPr>
          <w:rStyle w:val="NormalCharacter"/>
          <w:rFonts w:ascii="仿宋_GB2312" w:eastAsia="仿宋_GB2312" w:hint="eastAsia"/>
          <w:bCs/>
          <w:color w:val="000000" w:themeColor="text1"/>
          <w:sz w:val="32"/>
          <w:szCs w:val="32"/>
        </w:rPr>
        <w:t>两级</w:t>
      </w:r>
      <w:r w:rsidRPr="00065F52">
        <w:rPr>
          <w:rStyle w:val="NormalCharacter"/>
          <w:rFonts w:ascii="仿宋_GB2312" w:eastAsia="仿宋_GB2312"/>
          <w:bCs/>
          <w:color w:val="000000" w:themeColor="text1"/>
          <w:sz w:val="32"/>
          <w:szCs w:val="32"/>
        </w:rPr>
        <w:t>法院共受理第三人撤销之诉纠纷案件</w:t>
      </w:r>
      <w:r w:rsidRPr="00065F52">
        <w:rPr>
          <w:rStyle w:val="NormalCharacter"/>
          <w:rFonts w:ascii="仿宋_GB2312" w:eastAsia="仿宋_GB2312" w:hint="eastAsia"/>
          <w:bCs/>
          <w:color w:val="000000" w:themeColor="text1"/>
          <w:sz w:val="32"/>
          <w:szCs w:val="32"/>
        </w:rPr>
        <w:t>119</w:t>
      </w:r>
      <w:r w:rsidRPr="00065F52">
        <w:rPr>
          <w:rStyle w:val="NormalCharacter"/>
          <w:rFonts w:ascii="仿宋_GB2312" w:eastAsia="仿宋_GB2312"/>
          <w:bCs/>
          <w:color w:val="000000" w:themeColor="text1"/>
          <w:sz w:val="32"/>
          <w:szCs w:val="32"/>
        </w:rPr>
        <w:t>件，分别是：</w:t>
      </w:r>
      <w:r w:rsidRPr="00065F52">
        <w:rPr>
          <w:rStyle w:val="NormalCharacter"/>
          <w:rFonts w:ascii="仿宋_GB2312" w:eastAsia="仿宋_GB2312"/>
          <w:color w:val="000000" w:themeColor="text1"/>
          <w:sz w:val="32"/>
          <w:szCs w:val="32"/>
        </w:rPr>
        <w:t>2017年</w:t>
      </w:r>
      <w:r w:rsidRPr="00065F52">
        <w:rPr>
          <w:rStyle w:val="NormalCharacter"/>
          <w:rFonts w:ascii="仿宋_GB2312" w:eastAsia="仿宋_GB2312" w:hint="eastAsia"/>
          <w:color w:val="000000" w:themeColor="text1"/>
          <w:sz w:val="32"/>
          <w:szCs w:val="32"/>
        </w:rPr>
        <w:t>26</w:t>
      </w:r>
      <w:r w:rsidRPr="00065F52">
        <w:rPr>
          <w:rStyle w:val="NormalCharacter"/>
          <w:rFonts w:ascii="仿宋_GB2312" w:eastAsia="仿宋_GB2312"/>
          <w:color w:val="000000" w:themeColor="text1"/>
          <w:sz w:val="32"/>
          <w:szCs w:val="32"/>
        </w:rPr>
        <w:t>件，2018年</w:t>
      </w:r>
      <w:r w:rsidRPr="00065F52">
        <w:rPr>
          <w:rStyle w:val="NormalCharacter"/>
          <w:rFonts w:ascii="仿宋_GB2312" w:eastAsia="仿宋_GB2312" w:hint="eastAsia"/>
          <w:color w:val="000000" w:themeColor="text1"/>
          <w:sz w:val="32"/>
          <w:szCs w:val="32"/>
        </w:rPr>
        <w:t>30</w:t>
      </w:r>
      <w:r w:rsidRPr="00065F52">
        <w:rPr>
          <w:rStyle w:val="NormalCharacter"/>
          <w:rFonts w:ascii="仿宋_GB2312" w:eastAsia="仿宋_GB2312"/>
          <w:color w:val="000000" w:themeColor="text1"/>
          <w:sz w:val="32"/>
          <w:szCs w:val="32"/>
        </w:rPr>
        <w:t>件，2019年</w:t>
      </w:r>
      <w:r w:rsidRPr="00065F52">
        <w:rPr>
          <w:rStyle w:val="NormalCharacter"/>
          <w:rFonts w:ascii="仿宋_GB2312" w:eastAsia="仿宋_GB2312" w:hint="eastAsia"/>
          <w:color w:val="000000" w:themeColor="text1"/>
          <w:sz w:val="32"/>
          <w:szCs w:val="32"/>
        </w:rPr>
        <w:t>63</w:t>
      </w:r>
      <w:r w:rsidRPr="00065F52">
        <w:rPr>
          <w:rStyle w:val="NormalCharacter"/>
          <w:rFonts w:ascii="仿宋_GB2312" w:eastAsia="仿宋_GB2312"/>
          <w:color w:val="000000" w:themeColor="text1"/>
          <w:sz w:val="32"/>
          <w:szCs w:val="32"/>
        </w:rPr>
        <w:t>件。</w:t>
      </w:r>
      <w:r w:rsidRPr="00065F52">
        <w:rPr>
          <w:rStyle w:val="NormalCharacter"/>
          <w:rFonts w:ascii="仿宋_GB2312" w:eastAsia="仿宋_GB2312" w:hint="eastAsia"/>
          <w:color w:val="000000" w:themeColor="text1"/>
          <w:sz w:val="32"/>
          <w:szCs w:val="32"/>
        </w:rPr>
        <w:t>因第三人撤销</w:t>
      </w:r>
      <w:proofErr w:type="gramStart"/>
      <w:r w:rsidRPr="00065F52">
        <w:rPr>
          <w:rStyle w:val="NormalCharacter"/>
          <w:rFonts w:ascii="仿宋_GB2312" w:eastAsia="仿宋_GB2312" w:hint="eastAsia"/>
          <w:color w:val="000000" w:themeColor="text1"/>
          <w:sz w:val="32"/>
          <w:szCs w:val="32"/>
        </w:rPr>
        <w:t>之诉系2012年</w:t>
      </w:r>
      <w:proofErr w:type="gramEnd"/>
      <w:r w:rsidRPr="00065F52">
        <w:rPr>
          <w:rStyle w:val="NormalCharacter"/>
          <w:rFonts w:ascii="仿宋_GB2312" w:eastAsia="仿宋_GB2312" w:hint="eastAsia"/>
          <w:color w:val="000000" w:themeColor="text1"/>
          <w:sz w:val="32"/>
          <w:szCs w:val="32"/>
        </w:rPr>
        <w:t>新创设的制度，推行较晚，虽总体数量不多，但自2019年以来已成迅猛增长态势，已然成为第三人寻求权利救济的重要途径。</w:t>
      </w:r>
    </w:p>
    <w:p w:rsidR="001503D0" w:rsidRPr="00065F52" w:rsidRDefault="001503D0" w:rsidP="001503D0">
      <w:pPr>
        <w:spacing w:line="560" w:lineRule="exact"/>
        <w:rPr>
          <w:rStyle w:val="NormalCharacter"/>
          <w:color w:val="FF0000"/>
        </w:rPr>
      </w:pPr>
    </w:p>
    <w:p w:rsidR="001503D0" w:rsidRPr="00065F52" w:rsidRDefault="001503D0" w:rsidP="001503D0">
      <w:pPr>
        <w:ind w:firstLineChars="200" w:firstLine="420"/>
      </w:pPr>
      <w:r w:rsidRPr="00065F52">
        <w:rPr>
          <w:noProof/>
        </w:rPr>
        <w:drawing>
          <wp:inline distT="0" distB="0" distL="114300" distR="114300">
            <wp:extent cx="4742180" cy="2620010"/>
            <wp:effectExtent l="0" t="0" r="7620" b="8890"/>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8" cstate="print"/>
                    <a:srcRect t="9108" b="9198"/>
                    <a:stretch>
                      <a:fillRect/>
                    </a:stretch>
                  </pic:blipFill>
                  <pic:spPr>
                    <a:xfrm>
                      <a:off x="0" y="0"/>
                      <a:ext cx="4742180" cy="2620010"/>
                    </a:xfrm>
                    <a:prstGeom prst="rect">
                      <a:avLst/>
                    </a:prstGeom>
                    <a:noFill/>
                    <a:ln>
                      <a:noFill/>
                    </a:ln>
                  </pic:spPr>
                </pic:pic>
              </a:graphicData>
            </a:graphic>
          </wp:inline>
        </w:drawing>
      </w:r>
    </w:p>
    <w:p w:rsidR="001503D0" w:rsidRPr="00065F52" w:rsidRDefault="001503D0" w:rsidP="001503D0">
      <w:pPr>
        <w:ind w:firstLineChars="200" w:firstLine="420"/>
      </w:pPr>
    </w:p>
    <w:p w:rsidR="001503D0" w:rsidRPr="00065F52" w:rsidRDefault="001503D0" w:rsidP="001503D0">
      <w:pPr>
        <w:rPr>
          <w:rStyle w:val="NormalCharacter"/>
          <w:rFonts w:ascii="仿宋_GB2312" w:eastAsia="仿宋_GB2312"/>
          <w:bCs/>
          <w:sz w:val="32"/>
          <w:szCs w:val="32"/>
        </w:rPr>
      </w:pPr>
      <w:r w:rsidRPr="00065F52">
        <w:rPr>
          <w:rStyle w:val="NormalCharacter"/>
          <w:rFonts w:ascii="仿宋_GB2312" w:eastAsia="仿宋_GB2312" w:hint="eastAsia"/>
          <w:bCs/>
          <w:sz w:val="32"/>
          <w:szCs w:val="32"/>
        </w:rPr>
        <w:t xml:space="preserve">    2、原诉所涉案由分析</w:t>
      </w:r>
    </w:p>
    <w:p w:rsidR="001503D0" w:rsidRPr="00065F52" w:rsidRDefault="001503D0" w:rsidP="00AB3362">
      <w:pPr>
        <w:ind w:firstLineChars="150" w:firstLine="480"/>
        <w:rPr>
          <w:rStyle w:val="NormalCharacter"/>
          <w:rFonts w:ascii="仿宋_GB2312" w:eastAsia="仿宋_GB2312"/>
          <w:bCs/>
          <w:sz w:val="32"/>
          <w:szCs w:val="32"/>
        </w:rPr>
      </w:pPr>
      <w:r w:rsidRPr="00065F52">
        <w:rPr>
          <w:rStyle w:val="NormalCharacter"/>
          <w:rFonts w:ascii="仿宋_GB2312" w:eastAsia="仿宋_GB2312" w:hint="eastAsia"/>
          <w:bCs/>
          <w:sz w:val="32"/>
          <w:szCs w:val="32"/>
        </w:rPr>
        <w:t>从原诉涉及的案由看，债权人撤销权纠纷、金融合同借款纠纷</w:t>
      </w:r>
      <w:proofErr w:type="gramStart"/>
      <w:r w:rsidRPr="00065F52">
        <w:rPr>
          <w:rStyle w:val="NormalCharacter"/>
          <w:rFonts w:ascii="仿宋_GB2312" w:eastAsia="仿宋_GB2312" w:hint="eastAsia"/>
          <w:bCs/>
          <w:sz w:val="32"/>
          <w:szCs w:val="32"/>
        </w:rPr>
        <w:t>占比较</w:t>
      </w:r>
      <w:proofErr w:type="gramEnd"/>
      <w:r w:rsidRPr="00065F52">
        <w:rPr>
          <w:rStyle w:val="NormalCharacter"/>
          <w:rFonts w:ascii="仿宋_GB2312" w:eastAsia="仿宋_GB2312" w:hint="eastAsia"/>
          <w:bCs/>
          <w:sz w:val="32"/>
          <w:szCs w:val="32"/>
        </w:rPr>
        <w:t>大，民间借贷纠纷、商品房预售合同纠纷、</w:t>
      </w:r>
      <w:r w:rsidRPr="00065F52">
        <w:rPr>
          <w:rStyle w:val="NormalCharacter"/>
          <w:rFonts w:ascii="仿宋_GB2312" w:eastAsia="仿宋_GB2312" w:hint="eastAsia"/>
          <w:bCs/>
          <w:color w:val="000000" w:themeColor="text1"/>
          <w:sz w:val="32"/>
          <w:szCs w:val="32"/>
        </w:rPr>
        <w:t>申请撤销调解确认决定纠</w:t>
      </w:r>
      <w:r w:rsidRPr="00065F52">
        <w:rPr>
          <w:rStyle w:val="NormalCharacter"/>
          <w:rFonts w:ascii="仿宋_GB2312" w:eastAsia="仿宋_GB2312" w:hint="eastAsia"/>
          <w:bCs/>
          <w:sz w:val="32"/>
          <w:szCs w:val="32"/>
        </w:rPr>
        <w:t>纷也占不少比例。</w:t>
      </w:r>
    </w:p>
    <w:p w:rsidR="001503D0" w:rsidRPr="00065F52" w:rsidRDefault="001503D0" w:rsidP="001503D0">
      <w:pPr>
        <w:ind w:left="580"/>
        <w:rPr>
          <w:rStyle w:val="NormalCharacter"/>
          <w:rFonts w:ascii="仿宋_GB2312" w:eastAsia="仿宋_GB2312"/>
          <w:bCs/>
          <w:sz w:val="32"/>
          <w:szCs w:val="32"/>
        </w:rPr>
      </w:pPr>
      <w:r w:rsidRPr="00065F52">
        <w:rPr>
          <w:rStyle w:val="NormalCharacter"/>
          <w:rFonts w:ascii="仿宋_GB2312" w:eastAsia="仿宋_GB2312" w:hint="eastAsia"/>
          <w:bCs/>
          <w:noProof/>
          <w:sz w:val="32"/>
          <w:szCs w:val="32"/>
        </w:rPr>
        <w:lastRenderedPageBreak/>
        <w:drawing>
          <wp:inline distT="0" distB="0" distL="114300" distR="114300">
            <wp:extent cx="4545330" cy="3061335"/>
            <wp:effectExtent l="0" t="0" r="1270" b="12065"/>
            <wp:docPr id="11" name="图片 2" descr="48d687218d5bbbddeaea029f9ff7b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8d687218d5bbbddeaea029f9ff7b7b"/>
                    <pic:cNvPicPr>
                      <a:picLocks noChangeAspect="1"/>
                    </pic:cNvPicPr>
                  </pic:nvPicPr>
                  <pic:blipFill>
                    <a:blip r:embed="rId19" cstate="print"/>
                    <a:stretch>
                      <a:fillRect/>
                    </a:stretch>
                  </pic:blipFill>
                  <pic:spPr>
                    <a:xfrm>
                      <a:off x="0" y="0"/>
                      <a:ext cx="4545330" cy="3061335"/>
                    </a:xfrm>
                    <a:prstGeom prst="rect">
                      <a:avLst/>
                    </a:prstGeom>
                  </pic:spPr>
                </pic:pic>
              </a:graphicData>
            </a:graphic>
          </wp:inline>
        </w:drawing>
      </w:r>
    </w:p>
    <w:p w:rsidR="001503D0" w:rsidRPr="00065F52" w:rsidRDefault="001503D0" w:rsidP="001503D0">
      <w:pPr>
        <w:ind w:left="580"/>
        <w:rPr>
          <w:rStyle w:val="NormalCharacter"/>
          <w:rFonts w:ascii="仿宋_GB2312" w:eastAsia="仿宋_GB2312"/>
          <w:bCs/>
          <w:sz w:val="32"/>
          <w:szCs w:val="32"/>
        </w:rPr>
      </w:pPr>
    </w:p>
    <w:p w:rsidR="001503D0" w:rsidRPr="00065F52" w:rsidRDefault="001503D0" w:rsidP="001503D0">
      <w:pPr>
        <w:ind w:firstLine="420"/>
        <w:rPr>
          <w:rStyle w:val="NormalCharacter"/>
          <w:rFonts w:ascii="仿宋_GB2312" w:eastAsia="仿宋_GB2312"/>
          <w:bCs/>
          <w:sz w:val="32"/>
          <w:szCs w:val="32"/>
        </w:rPr>
      </w:pPr>
      <w:r w:rsidRPr="00065F52">
        <w:rPr>
          <w:rStyle w:val="NormalCharacter"/>
          <w:rFonts w:ascii="仿宋_GB2312" w:eastAsia="仿宋_GB2312" w:hint="eastAsia"/>
          <w:bCs/>
          <w:sz w:val="32"/>
          <w:szCs w:val="32"/>
        </w:rPr>
        <w:t>3</w:t>
      </w:r>
      <w:r w:rsidRPr="00065F52">
        <w:rPr>
          <w:rStyle w:val="NormalCharacter"/>
          <w:rFonts w:ascii="仿宋_GB2312" w:eastAsia="仿宋_GB2312"/>
          <w:bCs/>
          <w:sz w:val="32"/>
          <w:szCs w:val="32"/>
        </w:rPr>
        <w:t>、</w:t>
      </w:r>
      <w:r w:rsidRPr="00065F52">
        <w:rPr>
          <w:rStyle w:val="NormalCharacter"/>
          <w:rFonts w:ascii="仿宋_GB2312" w:eastAsia="仿宋_GB2312" w:hint="eastAsia"/>
          <w:bCs/>
          <w:sz w:val="32"/>
          <w:szCs w:val="32"/>
        </w:rPr>
        <w:t>裁判结果分析</w:t>
      </w:r>
    </w:p>
    <w:p w:rsidR="001503D0" w:rsidRPr="00065F52" w:rsidRDefault="001503D0" w:rsidP="00AB3362">
      <w:pPr>
        <w:ind w:firstLineChars="200" w:firstLine="640"/>
        <w:rPr>
          <w:rStyle w:val="NormalCharacter"/>
          <w:rFonts w:ascii="仿宋_GB2312" w:eastAsia="仿宋_GB2312"/>
          <w:bCs/>
          <w:sz w:val="32"/>
          <w:szCs w:val="32"/>
        </w:rPr>
      </w:pPr>
      <w:r w:rsidRPr="00065F52">
        <w:rPr>
          <w:rStyle w:val="NormalCharacter"/>
          <w:rFonts w:ascii="仿宋_GB2312" w:eastAsia="仿宋_GB2312"/>
          <w:bCs/>
          <w:sz w:val="32"/>
          <w:szCs w:val="32"/>
        </w:rPr>
        <w:t>从裁判结果看，</w:t>
      </w:r>
      <w:r w:rsidRPr="00065F52">
        <w:rPr>
          <w:rStyle w:val="NormalCharacter"/>
          <w:rFonts w:ascii="仿宋_GB2312" w:eastAsia="仿宋_GB2312" w:hint="eastAsia"/>
          <w:bCs/>
          <w:sz w:val="32"/>
          <w:szCs w:val="32"/>
        </w:rPr>
        <w:t>驳回起诉的32件，占比25.8%；</w:t>
      </w:r>
    </w:p>
    <w:p w:rsidR="001503D0" w:rsidRPr="00065F52" w:rsidRDefault="001503D0" w:rsidP="001503D0">
      <w:pPr>
        <w:rPr>
          <w:rStyle w:val="NormalCharacter"/>
          <w:rFonts w:ascii="仿宋_GB2312" w:eastAsia="仿宋_GB2312"/>
          <w:bCs/>
          <w:sz w:val="32"/>
          <w:szCs w:val="32"/>
        </w:rPr>
      </w:pPr>
      <w:r w:rsidRPr="00065F52">
        <w:rPr>
          <w:rStyle w:val="NormalCharacter"/>
          <w:rFonts w:ascii="仿宋_GB2312" w:eastAsia="仿宋_GB2312" w:hint="eastAsia"/>
          <w:bCs/>
          <w:sz w:val="32"/>
          <w:szCs w:val="32"/>
        </w:rPr>
        <w:t>驳回诉讼请求的13件，占比10.5%；撤诉或按撤诉处理的8件，占比6.5%；判决支持的18件，占比14.4%；二审维持原判的19件，占比15.3%；发回重审的</w:t>
      </w:r>
      <w:r w:rsidRPr="00091D43">
        <w:rPr>
          <w:rStyle w:val="NormalCharacter"/>
          <w:rFonts w:ascii="仿宋_GB2312" w:eastAsia="仿宋_GB2312" w:hint="eastAsia"/>
          <w:bCs/>
          <w:color w:val="000000" w:themeColor="text1"/>
          <w:sz w:val="32"/>
          <w:szCs w:val="32"/>
        </w:rPr>
        <w:t>1件，占比0.8</w:t>
      </w:r>
      <w:r w:rsidR="00851518" w:rsidRPr="00091D43">
        <w:rPr>
          <w:rStyle w:val="NormalCharacter"/>
          <w:rFonts w:ascii="仿宋_GB2312" w:eastAsia="仿宋_GB2312" w:hint="eastAsia"/>
          <w:bCs/>
          <w:color w:val="000000" w:themeColor="text1"/>
          <w:sz w:val="32"/>
          <w:szCs w:val="32"/>
        </w:rPr>
        <w:t>1</w:t>
      </w:r>
      <w:r w:rsidRPr="00091D43">
        <w:rPr>
          <w:rStyle w:val="NormalCharacter"/>
          <w:rFonts w:ascii="仿宋_GB2312" w:eastAsia="仿宋_GB2312" w:hint="eastAsia"/>
          <w:bCs/>
          <w:color w:val="000000" w:themeColor="text1"/>
          <w:sz w:val="32"/>
          <w:szCs w:val="32"/>
        </w:rPr>
        <w:t>%；改判的2件，占比1.6%；指令审理</w:t>
      </w:r>
      <w:r w:rsidR="002F376E">
        <w:rPr>
          <w:rStyle w:val="NormalCharacter"/>
          <w:rFonts w:ascii="仿宋_GB2312" w:eastAsia="仿宋_GB2312" w:hint="eastAsia"/>
          <w:bCs/>
          <w:color w:val="000000" w:themeColor="text1"/>
          <w:sz w:val="32"/>
          <w:szCs w:val="32"/>
        </w:rPr>
        <w:t>的</w:t>
      </w:r>
      <w:r w:rsidRPr="00091D43">
        <w:rPr>
          <w:rStyle w:val="NormalCharacter"/>
          <w:rFonts w:ascii="仿宋_GB2312" w:eastAsia="仿宋_GB2312" w:hint="eastAsia"/>
          <w:bCs/>
          <w:color w:val="000000" w:themeColor="text1"/>
          <w:sz w:val="32"/>
          <w:szCs w:val="32"/>
        </w:rPr>
        <w:t xml:space="preserve">1 </w:t>
      </w:r>
      <w:r w:rsidR="00ED6878" w:rsidRPr="00091D43">
        <w:rPr>
          <w:rStyle w:val="NormalCharacter"/>
          <w:rFonts w:ascii="仿宋_GB2312" w:eastAsia="仿宋_GB2312" w:hint="eastAsia"/>
          <w:bCs/>
          <w:color w:val="000000" w:themeColor="text1"/>
          <w:sz w:val="32"/>
          <w:szCs w:val="32"/>
        </w:rPr>
        <w:t>件，</w:t>
      </w:r>
      <w:r w:rsidRPr="00091D43">
        <w:rPr>
          <w:rStyle w:val="NormalCharacter"/>
          <w:rFonts w:ascii="仿宋_GB2312" w:eastAsia="仿宋_GB2312" w:hint="eastAsia"/>
          <w:bCs/>
          <w:color w:val="000000" w:themeColor="text1"/>
          <w:sz w:val="32"/>
          <w:szCs w:val="32"/>
        </w:rPr>
        <w:t>占比0.81%，</w:t>
      </w:r>
      <w:r w:rsidRPr="00065F52">
        <w:rPr>
          <w:rStyle w:val="NormalCharacter"/>
          <w:rFonts w:ascii="仿宋_GB2312" w:eastAsia="仿宋_GB2312" w:hint="eastAsia"/>
          <w:bCs/>
          <w:sz w:val="32"/>
          <w:szCs w:val="32"/>
        </w:rPr>
        <w:t>其他情形</w:t>
      </w:r>
      <w:r w:rsidR="002F376E">
        <w:rPr>
          <w:rStyle w:val="NormalCharacter"/>
          <w:rFonts w:ascii="仿宋_GB2312" w:eastAsia="仿宋_GB2312" w:hint="eastAsia"/>
          <w:bCs/>
          <w:sz w:val="32"/>
          <w:szCs w:val="32"/>
        </w:rPr>
        <w:t>如尚未审结的</w:t>
      </w:r>
      <w:r w:rsidRPr="00065F52">
        <w:rPr>
          <w:rStyle w:val="NormalCharacter"/>
          <w:rFonts w:ascii="仿宋_GB2312" w:eastAsia="仿宋_GB2312" w:hint="eastAsia"/>
          <w:bCs/>
          <w:sz w:val="32"/>
          <w:szCs w:val="32"/>
        </w:rPr>
        <w:t>30件，占比2</w:t>
      </w:r>
      <w:r w:rsidR="00921E67">
        <w:rPr>
          <w:rStyle w:val="NormalCharacter"/>
          <w:rFonts w:ascii="仿宋_GB2312" w:eastAsia="仿宋_GB2312" w:hint="eastAsia"/>
          <w:bCs/>
          <w:sz w:val="32"/>
          <w:szCs w:val="32"/>
        </w:rPr>
        <w:t>4.28</w:t>
      </w:r>
      <w:r w:rsidRPr="00065F52">
        <w:rPr>
          <w:rStyle w:val="NormalCharacter"/>
          <w:rFonts w:ascii="仿宋_GB2312" w:eastAsia="仿宋_GB2312" w:hint="eastAsia"/>
          <w:bCs/>
          <w:sz w:val="32"/>
          <w:szCs w:val="32"/>
        </w:rPr>
        <w:t>%。</w:t>
      </w:r>
    </w:p>
    <w:p w:rsidR="001503D0" w:rsidRPr="002F376E" w:rsidRDefault="001503D0" w:rsidP="001503D0">
      <w:pPr>
        <w:ind w:firstLine="420"/>
        <w:rPr>
          <w:rStyle w:val="NormalCharacter"/>
          <w:rFonts w:ascii="仿宋_GB2312" w:eastAsia="仿宋_GB2312"/>
          <w:bCs/>
          <w:sz w:val="32"/>
          <w:szCs w:val="32"/>
        </w:rPr>
      </w:pPr>
    </w:p>
    <w:p w:rsidR="001503D0" w:rsidRPr="00065F52" w:rsidRDefault="001503D0" w:rsidP="001503D0">
      <w:pPr>
        <w:ind w:firstLine="420"/>
        <w:rPr>
          <w:rStyle w:val="NormalCharacter"/>
          <w:rFonts w:ascii="仿宋_GB2312" w:eastAsia="仿宋_GB2312"/>
          <w:bCs/>
          <w:sz w:val="32"/>
          <w:szCs w:val="32"/>
        </w:rPr>
      </w:pPr>
    </w:p>
    <w:p w:rsidR="001503D0" w:rsidRPr="00065F52" w:rsidRDefault="001503D0" w:rsidP="001503D0">
      <w:pPr>
        <w:rPr>
          <w:rStyle w:val="NormalCharacter"/>
          <w:rFonts w:ascii="仿宋_GB2312" w:eastAsia="仿宋_GB2312"/>
          <w:sz w:val="44"/>
          <w:szCs w:val="44"/>
        </w:rPr>
      </w:pPr>
      <w:r w:rsidRPr="00065F52">
        <w:rPr>
          <w:noProof/>
        </w:rPr>
        <w:lastRenderedPageBreak/>
        <w:drawing>
          <wp:inline distT="0" distB="0" distL="114300" distR="114300">
            <wp:extent cx="5115560" cy="3060065"/>
            <wp:effectExtent l="0" t="0" r="2540" b="63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0" cstate="print"/>
                    <a:srcRect l="5105" t="9023"/>
                    <a:stretch>
                      <a:fillRect/>
                    </a:stretch>
                  </pic:blipFill>
                  <pic:spPr>
                    <a:xfrm>
                      <a:off x="0" y="0"/>
                      <a:ext cx="5115560" cy="3060065"/>
                    </a:xfrm>
                    <a:prstGeom prst="rect">
                      <a:avLst/>
                    </a:prstGeom>
                    <a:noFill/>
                    <a:ln>
                      <a:noFill/>
                    </a:ln>
                  </pic:spPr>
                </pic:pic>
              </a:graphicData>
            </a:graphic>
          </wp:inline>
        </w:drawing>
      </w:r>
    </w:p>
    <w:p w:rsidR="001503D0" w:rsidRPr="00065F52" w:rsidRDefault="001503D0" w:rsidP="001503D0">
      <w:pPr>
        <w:pStyle w:val="1"/>
        <w:spacing w:before="0" w:after="0"/>
        <w:rPr>
          <w:rStyle w:val="NormalCharacter"/>
          <w:rFonts w:ascii="方正小标宋简体" w:eastAsia="方正小标宋简体"/>
          <w:b w:val="0"/>
          <w:sz w:val="32"/>
          <w:szCs w:val="32"/>
        </w:rPr>
      </w:pPr>
    </w:p>
    <w:p w:rsidR="001503D0" w:rsidRPr="00065F52" w:rsidRDefault="001503D0" w:rsidP="001503D0">
      <w:pPr>
        <w:pStyle w:val="1"/>
        <w:spacing w:before="0" w:after="0"/>
        <w:jc w:val="center"/>
        <w:rPr>
          <w:rStyle w:val="NormalCharacter"/>
          <w:rFonts w:ascii="方正小标宋简体" w:eastAsia="方正小标宋简体"/>
          <w:b w:val="0"/>
          <w:sz w:val="32"/>
          <w:szCs w:val="32"/>
        </w:rPr>
      </w:pPr>
      <w:bookmarkStart w:id="105" w:name="_Toc36114039"/>
      <w:r w:rsidRPr="00065F52">
        <w:rPr>
          <w:rStyle w:val="NormalCharacter"/>
          <w:rFonts w:ascii="方正小标宋简体" w:eastAsia="方正小标宋简体" w:hint="eastAsia"/>
          <w:b w:val="0"/>
          <w:sz w:val="32"/>
          <w:szCs w:val="32"/>
        </w:rPr>
        <w:t>第二章 第三人撤销之诉纠纷案件的特点</w:t>
      </w:r>
      <w:bookmarkEnd w:id="105"/>
    </w:p>
    <w:p w:rsidR="001503D0" w:rsidRPr="00065F52" w:rsidRDefault="001503D0" w:rsidP="001503D0">
      <w:pPr>
        <w:pStyle w:val="2"/>
        <w:spacing w:before="0" w:after="0"/>
        <w:ind w:firstLineChars="200" w:firstLine="640"/>
        <w:rPr>
          <w:rStyle w:val="NormalCharacter"/>
          <w:rFonts w:ascii="黑体" w:eastAsia="黑体" w:hAnsi="黑体"/>
          <w:b w:val="0"/>
        </w:rPr>
      </w:pPr>
      <w:bookmarkStart w:id="106" w:name="_Toc36114040"/>
      <w:r w:rsidRPr="00065F52">
        <w:rPr>
          <w:rStyle w:val="NormalCharacter"/>
          <w:rFonts w:ascii="黑体" w:eastAsia="黑体" w:hAnsi="黑体" w:hint="eastAsia"/>
          <w:b w:val="0"/>
        </w:rPr>
        <w:t>一、立案门槛高、审查标准严</w:t>
      </w:r>
      <w:bookmarkEnd w:id="106"/>
    </w:p>
    <w:p w:rsidR="001503D0" w:rsidRPr="00065F52" w:rsidRDefault="001503D0" w:rsidP="001503D0">
      <w:pPr>
        <w:spacing w:line="560" w:lineRule="exact"/>
        <w:ind w:firstLineChars="200" w:firstLine="640"/>
        <w:rPr>
          <w:rStyle w:val="NormalCharacter"/>
          <w:rFonts w:ascii="仿宋_GB2312" w:eastAsia="仿宋_GB2312"/>
          <w:sz w:val="32"/>
          <w:szCs w:val="32"/>
        </w:rPr>
      </w:pPr>
      <w:r w:rsidRPr="00065F52">
        <w:rPr>
          <w:rStyle w:val="NormalCharacter"/>
          <w:rFonts w:ascii="仿宋_GB2312" w:eastAsia="仿宋_GB2312" w:hint="eastAsia"/>
          <w:sz w:val="32"/>
          <w:szCs w:val="32"/>
        </w:rPr>
        <w:t>第三人撤销</w:t>
      </w:r>
      <w:proofErr w:type="gramStart"/>
      <w:r w:rsidRPr="00065F52">
        <w:rPr>
          <w:rStyle w:val="NormalCharacter"/>
          <w:rFonts w:ascii="仿宋_GB2312" w:eastAsia="仿宋_GB2312" w:hint="eastAsia"/>
          <w:sz w:val="32"/>
          <w:szCs w:val="32"/>
        </w:rPr>
        <w:t>之诉系事后</w:t>
      </w:r>
      <w:proofErr w:type="gramEnd"/>
      <w:r w:rsidRPr="00065F52">
        <w:rPr>
          <w:rStyle w:val="NormalCharacter"/>
          <w:rFonts w:ascii="仿宋_GB2312" w:eastAsia="仿宋_GB2312" w:hint="eastAsia"/>
          <w:sz w:val="32"/>
          <w:szCs w:val="32"/>
        </w:rPr>
        <w:t>启动的纠错程序，涉及生效裁判的既判力和稳定性，是立法者维护司法权威和追求实质正义这两种冲突的价值下权衡抉择的产物, 应力求在两者的冲突中寻找平衡点。因此，第三人向人民法院提起撤销之诉时，不能简单的适用民事诉讼法第</w:t>
      </w:r>
      <w:r w:rsidR="00AB3362">
        <w:rPr>
          <w:rStyle w:val="NormalCharacter"/>
          <w:rFonts w:ascii="仿宋_GB2312" w:eastAsia="仿宋_GB2312" w:hint="eastAsia"/>
          <w:sz w:val="32"/>
          <w:szCs w:val="32"/>
        </w:rPr>
        <w:t>一百一十九</w:t>
      </w:r>
      <w:r w:rsidRPr="00065F52">
        <w:rPr>
          <w:rStyle w:val="NormalCharacter"/>
          <w:rFonts w:ascii="仿宋_GB2312" w:eastAsia="仿宋_GB2312" w:hint="eastAsia"/>
          <w:sz w:val="32"/>
          <w:szCs w:val="32"/>
        </w:rPr>
        <w:t>条所规定的起诉审查条件，第三人除了要提出其诉讼请求外，还必须同时提供证明其主张事实的证据。我国民事诉讼法司法解释第293条规定，人民法院应当在收到起诉状和证据材料之日起五日内送交对方当事人，对方当事人可以自收到起诉状之日起十日内提出书面意见。人民法院应当对第三人提交的起诉状和证据材料以及对方当事人的书面意见进行审查。必要时，可以询问双方当事人。经审查，符合起诉条件的，人民法院应</w:t>
      </w:r>
      <w:r w:rsidRPr="00065F52">
        <w:rPr>
          <w:rStyle w:val="NormalCharacter"/>
          <w:rFonts w:ascii="仿宋_GB2312" w:eastAsia="仿宋_GB2312" w:hint="eastAsia"/>
          <w:sz w:val="32"/>
          <w:szCs w:val="32"/>
        </w:rPr>
        <w:lastRenderedPageBreak/>
        <w:t>当在收到起诉状之日起三十日内立案。不符合起诉条件的，应当在收到起诉状之日起三十日内裁定不予受理。三十日的立案期间，不同于普通民事诉讼的七日立案审查期间，主要是因为需对第三人未参加诉讼的情况及其提交的证据材料进行实质审查，并结合对方当事人的书面意见，全面审查第三人的起诉条件是否符合法律规定。如果第三人提交的证据材料明显不能证明生效裁判文书内容错误、生效裁判内容损害其民事权益的，应不予受理。</w:t>
      </w:r>
    </w:p>
    <w:p w:rsidR="001503D0" w:rsidRPr="00065F52" w:rsidRDefault="001503D0" w:rsidP="001503D0">
      <w:pPr>
        <w:pStyle w:val="2"/>
        <w:spacing w:before="0" w:after="0"/>
        <w:ind w:firstLineChars="200" w:firstLine="640"/>
        <w:rPr>
          <w:rStyle w:val="NormalCharacter"/>
          <w:rFonts w:ascii="黑体" w:eastAsia="黑体" w:hAnsi="黑体"/>
          <w:b w:val="0"/>
        </w:rPr>
      </w:pPr>
      <w:bookmarkStart w:id="107" w:name="_Toc36114041"/>
      <w:r w:rsidRPr="00065F52">
        <w:rPr>
          <w:rStyle w:val="NormalCharacter"/>
          <w:rFonts w:ascii="黑体" w:eastAsia="黑体" w:hAnsi="黑体" w:hint="eastAsia"/>
          <w:b w:val="0"/>
        </w:rPr>
        <w:t>二、启动程序和</w:t>
      </w:r>
      <w:r w:rsidRPr="00065F52">
        <w:rPr>
          <w:rStyle w:val="NormalCharacter"/>
          <w:rFonts w:ascii="黑体" w:eastAsia="黑体" w:hAnsi="黑体"/>
          <w:b w:val="0"/>
        </w:rPr>
        <w:t>诉讼主体资格</w:t>
      </w:r>
      <w:r w:rsidRPr="00065F52">
        <w:rPr>
          <w:rStyle w:val="NormalCharacter"/>
          <w:rFonts w:ascii="黑体" w:eastAsia="黑体" w:hAnsi="黑体" w:hint="eastAsia"/>
          <w:b w:val="0"/>
        </w:rPr>
        <w:t>特定</w:t>
      </w:r>
      <w:bookmarkEnd w:id="107"/>
    </w:p>
    <w:p w:rsidR="001503D0" w:rsidRPr="00065F52" w:rsidRDefault="001503D0" w:rsidP="001503D0">
      <w:pPr>
        <w:spacing w:line="560" w:lineRule="exact"/>
        <w:ind w:firstLineChars="200" w:firstLine="640"/>
        <w:rPr>
          <w:rStyle w:val="NormalCharacter"/>
          <w:rFonts w:ascii="仿宋_GB2312" w:eastAsia="仿宋_GB2312"/>
          <w:sz w:val="32"/>
          <w:szCs w:val="32"/>
        </w:rPr>
      </w:pPr>
      <w:r w:rsidRPr="00065F52">
        <w:rPr>
          <w:rStyle w:val="NormalCharacter"/>
          <w:rFonts w:ascii="仿宋_GB2312" w:eastAsia="仿宋_GB2312" w:hint="eastAsia"/>
          <w:sz w:val="32"/>
          <w:szCs w:val="32"/>
        </w:rPr>
        <w:t>《民事诉讼法》第</w:t>
      </w:r>
      <w:r w:rsidR="00AB3362">
        <w:rPr>
          <w:rStyle w:val="NormalCharacter"/>
          <w:rFonts w:ascii="仿宋_GB2312" w:eastAsia="仿宋_GB2312" w:hint="eastAsia"/>
          <w:sz w:val="32"/>
          <w:szCs w:val="32"/>
        </w:rPr>
        <w:t>五十六</w:t>
      </w:r>
      <w:r w:rsidRPr="00065F52">
        <w:rPr>
          <w:rStyle w:val="NormalCharacter"/>
          <w:rFonts w:ascii="仿宋_GB2312" w:eastAsia="仿宋_GB2312" w:hint="eastAsia"/>
          <w:sz w:val="32"/>
          <w:szCs w:val="32"/>
        </w:rPr>
        <w:t>条前两款规定的诉讼第三</w:t>
      </w:r>
      <w:proofErr w:type="gramStart"/>
      <w:r w:rsidRPr="00065F52">
        <w:rPr>
          <w:rStyle w:val="NormalCharacter"/>
          <w:rFonts w:ascii="仿宋_GB2312" w:eastAsia="仿宋_GB2312" w:hint="eastAsia"/>
          <w:sz w:val="32"/>
          <w:szCs w:val="32"/>
        </w:rPr>
        <w:t>人制度系前置</w:t>
      </w:r>
      <w:proofErr w:type="gramEnd"/>
      <w:r w:rsidRPr="00065F52">
        <w:rPr>
          <w:rStyle w:val="NormalCharacter"/>
          <w:rFonts w:ascii="仿宋_GB2312" w:eastAsia="仿宋_GB2312" w:hint="eastAsia"/>
          <w:sz w:val="32"/>
          <w:szCs w:val="32"/>
        </w:rPr>
        <w:t>性程序保障，是</w:t>
      </w:r>
      <w:proofErr w:type="gramStart"/>
      <w:r w:rsidRPr="00065F52">
        <w:rPr>
          <w:rStyle w:val="NormalCharacter"/>
          <w:rFonts w:ascii="仿宋_GB2312" w:eastAsia="仿宋_GB2312" w:hint="eastAsia"/>
          <w:sz w:val="32"/>
          <w:szCs w:val="32"/>
        </w:rPr>
        <w:t>拓展案</w:t>
      </w:r>
      <w:proofErr w:type="gramEnd"/>
      <w:r w:rsidRPr="00065F52">
        <w:rPr>
          <w:rStyle w:val="NormalCharacter"/>
          <w:rFonts w:ascii="仿宋_GB2312" w:eastAsia="仿宋_GB2312" w:hint="eastAsia"/>
          <w:sz w:val="32"/>
          <w:szCs w:val="32"/>
        </w:rPr>
        <w:t>外人参加他人之诉讼的制度，诉讼第三人参加的是围绕具体的权利纠纷展开的普通民事诉讼程序。而第三人撤销之诉是后置性程序保障，其目的是解除生效裁判对第三人的非正当利益影响</w:t>
      </w:r>
      <w:r w:rsidRPr="00065F52">
        <w:rPr>
          <w:rStyle w:val="NormalCharacter"/>
          <w:rFonts w:ascii="仿宋_GB2312" w:eastAsia="仿宋_GB2312"/>
          <w:sz w:val="32"/>
          <w:szCs w:val="32"/>
        </w:rPr>
        <w:t>，</w:t>
      </w:r>
      <w:r w:rsidRPr="00065F52">
        <w:rPr>
          <w:rStyle w:val="NormalCharacter"/>
          <w:rFonts w:ascii="仿宋_GB2312" w:eastAsia="仿宋_GB2312" w:hint="eastAsia"/>
          <w:sz w:val="32"/>
          <w:szCs w:val="32"/>
        </w:rPr>
        <w:t>其诉讼模式是针对已生效的裁判提起撤销之诉，系事后纠错救济程序，非普通民事诉讼程序。</w:t>
      </w:r>
    </w:p>
    <w:p w:rsidR="001503D0" w:rsidRPr="00065F52" w:rsidRDefault="001503D0" w:rsidP="001503D0">
      <w:pPr>
        <w:spacing w:line="560" w:lineRule="exact"/>
        <w:ind w:firstLineChars="200" w:firstLine="640"/>
        <w:rPr>
          <w:rStyle w:val="NormalCharacter"/>
          <w:rFonts w:ascii="仿宋_GB2312" w:eastAsia="仿宋_GB2312"/>
          <w:sz w:val="32"/>
          <w:szCs w:val="32"/>
        </w:rPr>
      </w:pPr>
      <w:r w:rsidRPr="00065F52">
        <w:rPr>
          <w:rStyle w:val="NormalCharacter"/>
          <w:rFonts w:ascii="仿宋_GB2312" w:eastAsia="仿宋_GB2312" w:hint="eastAsia"/>
          <w:sz w:val="32"/>
          <w:szCs w:val="32"/>
        </w:rPr>
        <w:t>关于原告主体资格问题，</w:t>
      </w:r>
      <w:r w:rsidRPr="00065F52">
        <w:rPr>
          <w:rStyle w:val="NormalCharacter"/>
          <w:rFonts w:ascii="仿宋_GB2312" w:eastAsia="仿宋_GB2312"/>
          <w:sz w:val="32"/>
          <w:szCs w:val="32"/>
        </w:rPr>
        <w:t>根据《民事诉讼法》第五十六条之规定，针对已生效的调解书、裁定书、判决书能够提起第三人撤销之诉的原告，</w:t>
      </w:r>
      <w:r w:rsidRPr="00065F52">
        <w:rPr>
          <w:rStyle w:val="NormalCharacter"/>
          <w:rFonts w:ascii="仿宋_GB2312" w:eastAsia="仿宋_GB2312" w:hint="eastAsia"/>
          <w:sz w:val="32"/>
          <w:szCs w:val="32"/>
        </w:rPr>
        <w:t>是</w:t>
      </w:r>
      <w:r w:rsidR="00AB3362">
        <w:rPr>
          <w:rStyle w:val="NormalCharacter"/>
          <w:rFonts w:ascii="仿宋_GB2312" w:eastAsia="仿宋_GB2312"/>
          <w:sz w:val="32"/>
          <w:szCs w:val="32"/>
        </w:rPr>
        <w:t>有独立请求权的第三人和无独立请求权的第三人</w:t>
      </w:r>
      <w:r w:rsidRPr="00065F52">
        <w:rPr>
          <w:rStyle w:val="NormalCharacter"/>
          <w:rFonts w:ascii="仿宋_GB2312" w:eastAsia="仿宋_GB2312"/>
          <w:sz w:val="32"/>
          <w:szCs w:val="32"/>
        </w:rPr>
        <w:t>两大类。</w:t>
      </w:r>
      <w:r w:rsidRPr="00065F52">
        <w:rPr>
          <w:rStyle w:val="NormalCharacter"/>
          <w:rFonts w:ascii="仿宋_GB2312" w:eastAsia="仿宋_GB2312" w:hint="eastAsia"/>
          <w:sz w:val="32"/>
          <w:szCs w:val="32"/>
        </w:rPr>
        <w:t>该第三人应系因不能归责于本人的事由未参加诉讼，致使其合法权益受损。该第三人是案外第三人，若因生效裁判文书内容错误而受到民事权益损害的主体在之前生效的裁判文书中已经成为诉讼第三人，则不属于第三人撤销之诉</w:t>
      </w:r>
      <w:proofErr w:type="gramStart"/>
      <w:r w:rsidRPr="00065F52">
        <w:rPr>
          <w:rStyle w:val="NormalCharacter"/>
          <w:rFonts w:ascii="仿宋_GB2312" w:eastAsia="仿宋_GB2312" w:hint="eastAsia"/>
          <w:sz w:val="32"/>
          <w:szCs w:val="32"/>
        </w:rPr>
        <w:t>的适格主体</w:t>
      </w:r>
      <w:proofErr w:type="gramEnd"/>
      <w:r w:rsidRPr="00065F52">
        <w:rPr>
          <w:rStyle w:val="NormalCharacter"/>
          <w:rFonts w:ascii="仿宋_GB2312" w:eastAsia="仿宋_GB2312" w:hint="eastAsia"/>
          <w:sz w:val="32"/>
          <w:szCs w:val="32"/>
        </w:rPr>
        <w:t>，其应依法申请再审。</w:t>
      </w:r>
    </w:p>
    <w:p w:rsidR="001503D0" w:rsidRPr="00065F52" w:rsidRDefault="001503D0" w:rsidP="001503D0">
      <w:pPr>
        <w:pStyle w:val="2"/>
        <w:spacing w:before="0" w:after="0"/>
        <w:ind w:firstLineChars="200" w:firstLine="640"/>
        <w:rPr>
          <w:rStyle w:val="NormalCharacter"/>
          <w:rFonts w:ascii="黑体" w:eastAsia="黑体" w:hAnsi="黑体"/>
          <w:b w:val="0"/>
        </w:rPr>
      </w:pPr>
      <w:bookmarkStart w:id="108" w:name="_Toc36114042"/>
      <w:r w:rsidRPr="00065F52">
        <w:rPr>
          <w:rStyle w:val="NormalCharacter"/>
          <w:rFonts w:ascii="黑体" w:eastAsia="黑体" w:hAnsi="黑体" w:hint="eastAsia"/>
          <w:b w:val="0"/>
        </w:rPr>
        <w:lastRenderedPageBreak/>
        <w:t>三、管辖法院和</w:t>
      </w:r>
      <w:r w:rsidRPr="00065F52">
        <w:rPr>
          <w:rStyle w:val="NormalCharacter"/>
          <w:rFonts w:ascii="黑体" w:eastAsia="黑体" w:hAnsi="黑体"/>
          <w:b w:val="0"/>
        </w:rPr>
        <w:t>起诉时间特定</w:t>
      </w:r>
      <w:bookmarkEnd w:id="108"/>
    </w:p>
    <w:p w:rsidR="001503D0" w:rsidRPr="00065F52" w:rsidRDefault="001503D0" w:rsidP="001503D0">
      <w:pPr>
        <w:spacing w:line="560" w:lineRule="exact"/>
        <w:ind w:firstLineChars="200" w:firstLine="640"/>
        <w:rPr>
          <w:rStyle w:val="NormalCharacter"/>
          <w:rFonts w:ascii="仿宋_GB2312" w:eastAsia="仿宋_GB2312"/>
          <w:sz w:val="32"/>
          <w:szCs w:val="32"/>
        </w:rPr>
      </w:pPr>
      <w:r w:rsidRPr="00065F52">
        <w:rPr>
          <w:rStyle w:val="NormalCharacter"/>
          <w:rFonts w:ascii="仿宋_GB2312" w:eastAsia="仿宋_GB2312" w:hint="eastAsia"/>
          <w:sz w:val="32"/>
          <w:szCs w:val="32"/>
        </w:rPr>
        <w:t>案外第三人撤销之诉必须按照法律的具体规定，由原做出生效裁判文书的法院专属管辖，不适用民事案件地域管辖、级别管辖的规定。</w:t>
      </w:r>
      <w:proofErr w:type="gramStart"/>
      <w:r w:rsidRPr="00065F52">
        <w:rPr>
          <w:rStyle w:val="NormalCharacter"/>
          <w:rFonts w:ascii="仿宋_GB2312" w:eastAsia="仿宋_GB2312" w:hint="eastAsia"/>
          <w:sz w:val="32"/>
          <w:szCs w:val="32"/>
        </w:rPr>
        <w:t>作出</w:t>
      </w:r>
      <w:proofErr w:type="gramEnd"/>
      <w:r w:rsidRPr="00065F52">
        <w:rPr>
          <w:rStyle w:val="NormalCharacter"/>
          <w:rFonts w:ascii="仿宋_GB2312" w:eastAsia="仿宋_GB2312" w:hint="eastAsia"/>
          <w:sz w:val="32"/>
          <w:szCs w:val="32"/>
        </w:rPr>
        <w:t>生效裁判文书的法院既可能是一审法院，也可能是二审法院。而执行异议之诉原则上是向执行法院提出，再审原则上由上级法院管辖。</w:t>
      </w:r>
    </w:p>
    <w:p w:rsidR="001503D0" w:rsidRPr="00065F52" w:rsidRDefault="001503D0" w:rsidP="001503D0">
      <w:pPr>
        <w:spacing w:line="560" w:lineRule="exact"/>
        <w:ind w:firstLineChars="200" w:firstLine="640"/>
        <w:rPr>
          <w:rStyle w:val="NormalCharacter"/>
          <w:rFonts w:ascii="仿宋_GB2312" w:eastAsia="仿宋_GB2312"/>
          <w:sz w:val="32"/>
          <w:szCs w:val="32"/>
        </w:rPr>
      </w:pPr>
      <w:r w:rsidRPr="00065F52">
        <w:rPr>
          <w:rStyle w:val="NormalCharacter"/>
          <w:rFonts w:ascii="仿宋_GB2312" w:eastAsia="仿宋_GB2312" w:hint="eastAsia"/>
          <w:sz w:val="32"/>
          <w:szCs w:val="32"/>
        </w:rPr>
        <w:t>从起诉时间看，第三人撤销</w:t>
      </w:r>
      <w:proofErr w:type="gramStart"/>
      <w:r w:rsidRPr="00065F52">
        <w:rPr>
          <w:rStyle w:val="NormalCharacter"/>
          <w:rFonts w:ascii="仿宋_GB2312" w:eastAsia="仿宋_GB2312" w:hint="eastAsia"/>
          <w:sz w:val="32"/>
          <w:szCs w:val="32"/>
        </w:rPr>
        <w:t>之诉所针对</w:t>
      </w:r>
      <w:proofErr w:type="gramEnd"/>
      <w:r w:rsidRPr="00065F52">
        <w:rPr>
          <w:rStyle w:val="NormalCharacter"/>
          <w:rFonts w:ascii="仿宋_GB2312" w:eastAsia="仿宋_GB2312" w:hint="eastAsia"/>
          <w:sz w:val="32"/>
          <w:szCs w:val="32"/>
        </w:rPr>
        <w:t>的客体是已生效的判决、裁定和调解书，</w:t>
      </w:r>
      <w:r w:rsidRPr="00065F52">
        <w:rPr>
          <w:rStyle w:val="NormalCharacter"/>
          <w:rFonts w:ascii="仿宋_GB2312" w:eastAsia="仿宋_GB2312"/>
          <w:sz w:val="32"/>
          <w:szCs w:val="32"/>
        </w:rPr>
        <w:t>起诉时间是</w:t>
      </w:r>
      <w:r w:rsidRPr="00065F52">
        <w:rPr>
          <w:rStyle w:val="NormalCharacter"/>
          <w:rFonts w:ascii="仿宋_GB2312" w:eastAsia="仿宋_GB2312" w:hint="eastAsia"/>
          <w:sz w:val="32"/>
          <w:szCs w:val="32"/>
        </w:rPr>
        <w:t>第三人</w:t>
      </w:r>
      <w:r w:rsidRPr="00065F52">
        <w:rPr>
          <w:rStyle w:val="NormalCharacter"/>
          <w:rFonts w:ascii="仿宋_GB2312" w:eastAsia="仿宋_GB2312"/>
          <w:sz w:val="32"/>
          <w:szCs w:val="32"/>
        </w:rPr>
        <w:t>自知道或应当知道其民事权益受到损害之日起6个月内</w:t>
      </w:r>
      <w:r w:rsidRPr="00065F52">
        <w:rPr>
          <w:rStyle w:val="NormalCharacter"/>
          <w:rFonts w:ascii="仿宋_GB2312" w:eastAsia="仿宋_GB2312" w:hint="eastAsia"/>
          <w:sz w:val="32"/>
          <w:szCs w:val="32"/>
        </w:rPr>
        <w:t>，该期间是不变期间，不适用延长、中止、中断的规定。另外，第三人撤销之诉起诉的期间是从裁判文书生效开始起算，该裁判文书是否进入执行程序在所不问，而同样</w:t>
      </w:r>
      <w:proofErr w:type="gramStart"/>
      <w:r w:rsidRPr="00065F52">
        <w:rPr>
          <w:rStyle w:val="NormalCharacter"/>
          <w:rFonts w:ascii="仿宋_GB2312" w:eastAsia="仿宋_GB2312" w:hint="eastAsia"/>
          <w:sz w:val="32"/>
          <w:szCs w:val="32"/>
        </w:rPr>
        <w:t>作为案</w:t>
      </w:r>
      <w:proofErr w:type="gramEnd"/>
      <w:r w:rsidRPr="00065F52">
        <w:rPr>
          <w:rStyle w:val="NormalCharacter"/>
          <w:rFonts w:ascii="仿宋_GB2312" w:eastAsia="仿宋_GB2312" w:hint="eastAsia"/>
          <w:sz w:val="32"/>
          <w:szCs w:val="32"/>
        </w:rPr>
        <w:t>外人事后救济程序的执行异议之诉，其只有在案件进</w:t>
      </w:r>
      <w:r w:rsidR="004B7EF8">
        <w:rPr>
          <w:rStyle w:val="NormalCharacter"/>
          <w:rFonts w:ascii="仿宋_GB2312" w:eastAsia="仿宋_GB2312" w:hint="eastAsia"/>
          <w:sz w:val="32"/>
          <w:szCs w:val="32"/>
        </w:rPr>
        <w:t>入</w:t>
      </w:r>
      <w:r w:rsidRPr="00065F52">
        <w:rPr>
          <w:rStyle w:val="NormalCharacter"/>
          <w:rFonts w:ascii="仿宋_GB2312" w:eastAsia="仿宋_GB2312" w:hint="eastAsia"/>
          <w:sz w:val="32"/>
          <w:szCs w:val="32"/>
        </w:rPr>
        <w:t>执行程序时，案外人才有权提出执行异议。换言之，如果生效文书是确认判决或形成判决则无需进入执行程序，或者虽然是给付判决但从判决生效到执行开始之间</w:t>
      </w:r>
      <w:r w:rsidR="00D93276">
        <w:rPr>
          <w:rStyle w:val="NormalCharacter"/>
          <w:rFonts w:ascii="仿宋_GB2312" w:eastAsia="仿宋_GB2312" w:hint="eastAsia"/>
          <w:sz w:val="32"/>
          <w:szCs w:val="32"/>
        </w:rPr>
        <w:t>有</w:t>
      </w:r>
      <w:r w:rsidRPr="00065F52">
        <w:rPr>
          <w:rStyle w:val="NormalCharacter"/>
          <w:rFonts w:ascii="仿宋_GB2312" w:eastAsia="仿宋_GB2312" w:hint="eastAsia"/>
          <w:sz w:val="32"/>
          <w:szCs w:val="32"/>
        </w:rPr>
        <w:t>一个空白期，案外人若适用执行异议程序则无从入手维权，而第三人撤销之诉的启动时间则不以案件进入执行程序为限，将有效弥补执行异议之诉的局限性。</w:t>
      </w:r>
    </w:p>
    <w:p w:rsidR="001503D0" w:rsidRPr="00065F52" w:rsidRDefault="001503D0" w:rsidP="001503D0">
      <w:pPr>
        <w:pStyle w:val="2"/>
        <w:spacing w:before="0" w:after="0"/>
        <w:ind w:firstLineChars="200" w:firstLine="640"/>
        <w:rPr>
          <w:rStyle w:val="NormalCharacter"/>
          <w:rFonts w:ascii="黑体" w:eastAsia="黑体" w:hAnsi="黑体"/>
          <w:b w:val="0"/>
        </w:rPr>
      </w:pPr>
      <w:bookmarkStart w:id="109" w:name="_Toc36114043"/>
      <w:r w:rsidRPr="00065F52">
        <w:rPr>
          <w:rStyle w:val="NormalCharacter"/>
          <w:rFonts w:ascii="黑体" w:eastAsia="黑体" w:hAnsi="黑体" w:hint="eastAsia"/>
          <w:b w:val="0"/>
        </w:rPr>
        <w:t>四、权利救济更具终局性和彻底性</w:t>
      </w:r>
      <w:bookmarkEnd w:id="109"/>
    </w:p>
    <w:p w:rsidR="001503D0" w:rsidRPr="00065F52" w:rsidRDefault="001503D0" w:rsidP="001503D0">
      <w:pPr>
        <w:spacing w:line="560" w:lineRule="exact"/>
        <w:ind w:firstLineChars="200" w:firstLine="640"/>
        <w:rPr>
          <w:rStyle w:val="NormalCharacter"/>
          <w:rFonts w:ascii="仿宋_GB2312" w:eastAsia="仿宋_GB2312"/>
          <w:color w:val="000000"/>
          <w:sz w:val="32"/>
          <w:szCs w:val="32"/>
        </w:rPr>
      </w:pPr>
      <w:r w:rsidRPr="00065F52">
        <w:rPr>
          <w:rStyle w:val="NormalCharacter"/>
          <w:rFonts w:ascii="仿宋_GB2312" w:eastAsia="仿宋_GB2312" w:hint="eastAsia"/>
          <w:sz w:val="32"/>
          <w:szCs w:val="32"/>
        </w:rPr>
        <w:t>第三人撤销之诉</w:t>
      </w:r>
      <w:r w:rsidR="00D93276">
        <w:rPr>
          <w:rStyle w:val="NormalCharacter"/>
          <w:rFonts w:ascii="仿宋_GB2312" w:eastAsia="仿宋_GB2312" w:hint="eastAsia"/>
          <w:sz w:val="32"/>
          <w:szCs w:val="32"/>
        </w:rPr>
        <w:t>的</w:t>
      </w:r>
      <w:r w:rsidRPr="00065F52">
        <w:rPr>
          <w:rStyle w:val="NormalCharacter"/>
          <w:rFonts w:ascii="仿宋_GB2312" w:eastAsia="仿宋_GB2312" w:hint="eastAsia"/>
          <w:color w:val="000000"/>
          <w:sz w:val="32"/>
          <w:szCs w:val="32"/>
        </w:rPr>
        <w:t>诉讼请求成立的，法院一般应改变或者撤销原判决、裁定、调解书，并可根据第三人的主张，对第三人提出的实体权利</w:t>
      </w:r>
      <w:proofErr w:type="gramStart"/>
      <w:r w:rsidRPr="00065F52">
        <w:rPr>
          <w:rStyle w:val="NormalCharacter"/>
          <w:rFonts w:ascii="仿宋_GB2312" w:eastAsia="仿宋_GB2312" w:hint="eastAsia"/>
          <w:color w:val="000000"/>
          <w:sz w:val="32"/>
          <w:szCs w:val="32"/>
        </w:rPr>
        <w:t>作出</w:t>
      </w:r>
      <w:proofErr w:type="gramEnd"/>
      <w:r w:rsidRPr="00065F52">
        <w:rPr>
          <w:rStyle w:val="NormalCharacter"/>
          <w:rFonts w:ascii="仿宋_GB2312" w:eastAsia="仿宋_GB2312" w:hint="eastAsia"/>
          <w:color w:val="000000"/>
          <w:sz w:val="32"/>
          <w:szCs w:val="32"/>
        </w:rPr>
        <w:t>具体认定，能够彻底解决案件纠纷，实现对当事人合法权益的全面维护。</w:t>
      </w:r>
      <w:proofErr w:type="gramStart"/>
      <w:r w:rsidRPr="00065F52">
        <w:rPr>
          <w:rStyle w:val="NormalCharacter"/>
          <w:rFonts w:ascii="仿宋_GB2312" w:eastAsia="仿宋_GB2312" w:hint="eastAsia"/>
          <w:color w:val="000000"/>
          <w:sz w:val="32"/>
          <w:szCs w:val="32"/>
        </w:rPr>
        <w:t>而案外人</w:t>
      </w:r>
      <w:proofErr w:type="gramEnd"/>
      <w:r w:rsidRPr="00065F52">
        <w:rPr>
          <w:rStyle w:val="NormalCharacter"/>
          <w:rFonts w:ascii="仿宋_GB2312" w:eastAsia="仿宋_GB2312" w:hint="eastAsia"/>
          <w:color w:val="000000"/>
          <w:sz w:val="32"/>
          <w:szCs w:val="32"/>
        </w:rPr>
        <w:t>执行异议之诉的立法目的主要是审查案外人的异议</w:t>
      </w:r>
      <w:proofErr w:type="gramStart"/>
      <w:r w:rsidRPr="00065F52">
        <w:rPr>
          <w:rStyle w:val="NormalCharacter"/>
          <w:rFonts w:ascii="仿宋_GB2312" w:eastAsia="仿宋_GB2312" w:hint="eastAsia"/>
          <w:color w:val="000000"/>
          <w:sz w:val="32"/>
          <w:szCs w:val="32"/>
        </w:rPr>
        <w:t>能否阻却对抗</w:t>
      </w:r>
      <w:proofErr w:type="gramEnd"/>
      <w:r w:rsidRPr="00065F52">
        <w:rPr>
          <w:rStyle w:val="NormalCharacter"/>
          <w:rFonts w:ascii="仿宋_GB2312" w:eastAsia="仿宋_GB2312" w:hint="eastAsia"/>
          <w:color w:val="000000"/>
          <w:sz w:val="32"/>
          <w:szCs w:val="32"/>
        </w:rPr>
        <w:t>执</w:t>
      </w:r>
      <w:r w:rsidRPr="00065F52">
        <w:rPr>
          <w:rStyle w:val="NormalCharacter"/>
          <w:rFonts w:ascii="仿宋_GB2312" w:eastAsia="仿宋_GB2312" w:hint="eastAsia"/>
          <w:color w:val="000000"/>
          <w:sz w:val="32"/>
          <w:szCs w:val="32"/>
        </w:rPr>
        <w:lastRenderedPageBreak/>
        <w:t>行，其一般并不直接确认被执行标的</w:t>
      </w:r>
      <w:proofErr w:type="gramStart"/>
      <w:r w:rsidRPr="00065F52">
        <w:rPr>
          <w:rStyle w:val="NormalCharacter"/>
          <w:rFonts w:ascii="仿宋_GB2312" w:eastAsia="仿宋_GB2312" w:hint="eastAsia"/>
          <w:color w:val="000000"/>
          <w:sz w:val="32"/>
          <w:szCs w:val="32"/>
        </w:rPr>
        <w:t>的</w:t>
      </w:r>
      <w:proofErr w:type="gramEnd"/>
      <w:r w:rsidRPr="00065F52">
        <w:rPr>
          <w:rStyle w:val="NormalCharacter"/>
          <w:rFonts w:ascii="仿宋_GB2312" w:eastAsia="仿宋_GB2312" w:hint="eastAsia"/>
          <w:color w:val="000000"/>
          <w:sz w:val="32"/>
          <w:szCs w:val="32"/>
        </w:rPr>
        <w:t>权利归属，因错误执行而致实体权益遭受侵害的案外人还必须通过再审、第三人撤销之诉等程序寻求司法救济。因此，第三人撤销之</w:t>
      </w:r>
      <w:proofErr w:type="gramStart"/>
      <w:r w:rsidRPr="00065F52">
        <w:rPr>
          <w:rStyle w:val="NormalCharacter"/>
          <w:rFonts w:ascii="仿宋_GB2312" w:eastAsia="仿宋_GB2312" w:hint="eastAsia"/>
          <w:color w:val="000000"/>
          <w:sz w:val="32"/>
          <w:szCs w:val="32"/>
        </w:rPr>
        <w:t>诉可有效弥补案</w:t>
      </w:r>
      <w:proofErr w:type="gramEnd"/>
      <w:r w:rsidRPr="00065F52">
        <w:rPr>
          <w:rStyle w:val="NormalCharacter"/>
          <w:rFonts w:ascii="仿宋_GB2312" w:eastAsia="仿宋_GB2312" w:hint="eastAsia"/>
          <w:color w:val="000000"/>
          <w:sz w:val="32"/>
          <w:szCs w:val="32"/>
        </w:rPr>
        <w:t>外人执行异议的缺陷，对第三人的合法权利进行全面救济。</w:t>
      </w:r>
    </w:p>
    <w:p w:rsidR="001503D0" w:rsidRPr="00065F52" w:rsidRDefault="001503D0" w:rsidP="001503D0">
      <w:pPr>
        <w:pStyle w:val="2"/>
        <w:spacing w:before="0" w:after="0"/>
        <w:ind w:firstLineChars="200" w:firstLine="640"/>
        <w:rPr>
          <w:rStyle w:val="NormalCharacter"/>
          <w:rFonts w:ascii="黑体" w:eastAsia="黑体" w:hAnsi="黑体"/>
          <w:b w:val="0"/>
        </w:rPr>
      </w:pPr>
      <w:bookmarkStart w:id="110" w:name="_Toc36114044"/>
      <w:r w:rsidRPr="00065F52">
        <w:rPr>
          <w:rStyle w:val="NormalCharacter"/>
          <w:rFonts w:ascii="黑体" w:eastAsia="黑体" w:hAnsi="黑体" w:hint="eastAsia"/>
          <w:b w:val="0"/>
        </w:rPr>
        <w:t>五、案件所涉领域广、专业性强，裁判尺度难统一</w:t>
      </w:r>
      <w:bookmarkEnd w:id="110"/>
    </w:p>
    <w:p w:rsidR="001503D0" w:rsidRPr="00065F52" w:rsidRDefault="001503D0" w:rsidP="001503D0">
      <w:pPr>
        <w:spacing w:line="560" w:lineRule="exact"/>
        <w:ind w:firstLineChars="200" w:firstLine="640"/>
        <w:rPr>
          <w:rStyle w:val="NormalCharacter"/>
          <w:rFonts w:ascii="仿宋_GB2312" w:eastAsia="仿宋_GB2312"/>
          <w:color w:val="000000"/>
          <w:sz w:val="32"/>
          <w:szCs w:val="32"/>
        </w:rPr>
      </w:pPr>
      <w:r w:rsidRPr="00065F52">
        <w:rPr>
          <w:rStyle w:val="NormalCharacter"/>
          <w:rFonts w:ascii="仿宋_GB2312" w:eastAsia="仿宋_GB2312" w:hint="eastAsia"/>
          <w:color w:val="000000"/>
          <w:sz w:val="32"/>
          <w:szCs w:val="32"/>
        </w:rPr>
        <w:t>第三人撤销之</w:t>
      </w:r>
      <w:proofErr w:type="gramStart"/>
      <w:r w:rsidRPr="00065F52">
        <w:rPr>
          <w:rStyle w:val="NormalCharacter"/>
          <w:rFonts w:ascii="仿宋_GB2312" w:eastAsia="仿宋_GB2312" w:hint="eastAsia"/>
          <w:color w:val="000000"/>
          <w:sz w:val="32"/>
          <w:szCs w:val="32"/>
        </w:rPr>
        <w:t>诉制度</w:t>
      </w:r>
      <w:proofErr w:type="gramEnd"/>
      <w:r w:rsidRPr="00065F52">
        <w:rPr>
          <w:rStyle w:val="NormalCharacter"/>
          <w:rFonts w:ascii="仿宋_GB2312" w:eastAsia="仿宋_GB2312" w:hint="eastAsia"/>
          <w:color w:val="000000"/>
          <w:sz w:val="32"/>
          <w:szCs w:val="32"/>
        </w:rPr>
        <w:t>是2012新修改的民事诉讼法创设的保护第三人民事权益的制度，其基本内容在于撤销已经生效的裁判内容。而已生效的裁判文书涉及多项民事权利，如所有权、用益物权、担保物权，各类债权等，对法官的业务能力提出了更高要求，需要法官既熟悉程序规定，还要精通物权法、合同法、担保法、婚姻法、公司法等各项实体法律规定。而且，该制度因实行较晚，相关法律规定尚需逐步完善，理论界和审判实践都存在诸多争议，致使案件事实认定困难，裁判尺度不统一。</w:t>
      </w:r>
    </w:p>
    <w:p w:rsidR="001503D0" w:rsidRPr="00065F52" w:rsidRDefault="001503D0" w:rsidP="001503D0">
      <w:pPr>
        <w:spacing w:line="560" w:lineRule="exact"/>
        <w:ind w:firstLineChars="200" w:firstLine="640"/>
        <w:rPr>
          <w:rStyle w:val="NormalCharacter"/>
          <w:rFonts w:ascii="仿宋_GB2312" w:eastAsia="仿宋_GB2312"/>
          <w:color w:val="000000"/>
          <w:sz w:val="32"/>
          <w:szCs w:val="32"/>
        </w:rPr>
      </w:pPr>
    </w:p>
    <w:p w:rsidR="001503D0" w:rsidRPr="00065F52" w:rsidRDefault="00E72CBF" w:rsidP="001503D0">
      <w:pPr>
        <w:pStyle w:val="1"/>
        <w:spacing w:before="0" w:after="0"/>
        <w:jc w:val="center"/>
        <w:rPr>
          <w:rStyle w:val="NormalCharacter"/>
          <w:rFonts w:ascii="方正小标宋简体" w:eastAsia="方正小标宋简体"/>
          <w:b w:val="0"/>
          <w:color w:val="000000"/>
          <w:kern w:val="2"/>
          <w:sz w:val="32"/>
          <w:szCs w:val="32"/>
        </w:rPr>
      </w:pPr>
      <w:bookmarkStart w:id="111" w:name="_Toc36114051"/>
      <w:r w:rsidRPr="00065F52">
        <w:rPr>
          <w:rStyle w:val="NormalCharacter"/>
          <w:rFonts w:ascii="方正小标宋简体" w:eastAsia="方正小标宋简体" w:hint="eastAsia"/>
          <w:b w:val="0"/>
          <w:color w:val="000000"/>
          <w:kern w:val="2"/>
          <w:sz w:val="32"/>
          <w:szCs w:val="32"/>
        </w:rPr>
        <w:t>第三</w:t>
      </w:r>
      <w:r w:rsidR="001503D0" w:rsidRPr="00065F52">
        <w:rPr>
          <w:rStyle w:val="NormalCharacter"/>
          <w:rFonts w:ascii="方正小标宋简体" w:eastAsia="方正小标宋简体" w:hint="eastAsia"/>
          <w:b w:val="0"/>
          <w:color w:val="000000"/>
          <w:kern w:val="2"/>
          <w:sz w:val="32"/>
          <w:szCs w:val="32"/>
        </w:rPr>
        <w:t>章 第三人撤销之诉纠纷的主要处理原则</w:t>
      </w:r>
      <w:bookmarkEnd w:id="111"/>
    </w:p>
    <w:p w:rsidR="001503D0" w:rsidRPr="00065F52" w:rsidRDefault="001503D0" w:rsidP="001503D0">
      <w:pPr>
        <w:ind w:firstLineChars="200" w:firstLine="640"/>
        <w:rPr>
          <w:rStyle w:val="NormalCharacter"/>
          <w:rFonts w:ascii="仿宋_GB2312" w:eastAsia="仿宋_GB2312"/>
          <w:sz w:val="32"/>
          <w:szCs w:val="32"/>
        </w:rPr>
      </w:pPr>
      <w:r w:rsidRPr="00065F52">
        <w:rPr>
          <w:rStyle w:val="NormalCharacter"/>
          <w:rFonts w:ascii="仿宋_GB2312" w:eastAsia="仿宋_GB2312" w:hint="eastAsia"/>
          <w:sz w:val="32"/>
          <w:szCs w:val="32"/>
        </w:rPr>
        <w:t>审理第三人撤销</w:t>
      </w:r>
      <w:proofErr w:type="gramStart"/>
      <w:r w:rsidRPr="00065F52">
        <w:rPr>
          <w:rStyle w:val="NormalCharacter"/>
          <w:rFonts w:ascii="仿宋_GB2312" w:eastAsia="仿宋_GB2312" w:hint="eastAsia"/>
          <w:sz w:val="32"/>
          <w:szCs w:val="32"/>
        </w:rPr>
        <w:t>之诉除应</w:t>
      </w:r>
      <w:proofErr w:type="gramEnd"/>
      <w:r w:rsidRPr="00065F52">
        <w:rPr>
          <w:rStyle w:val="NormalCharacter"/>
          <w:rFonts w:ascii="仿宋_GB2312" w:eastAsia="仿宋_GB2312" w:hint="eastAsia"/>
          <w:sz w:val="32"/>
          <w:szCs w:val="32"/>
        </w:rPr>
        <w:t>遵循民商事审判的基本原则外，基于其制度特性，尚应遵循以下原则：</w:t>
      </w:r>
    </w:p>
    <w:p w:rsidR="001503D0" w:rsidRPr="00065F52" w:rsidRDefault="001503D0" w:rsidP="001503D0">
      <w:pPr>
        <w:pStyle w:val="2"/>
        <w:spacing w:before="0" w:after="0"/>
        <w:ind w:firstLineChars="200" w:firstLine="640"/>
        <w:rPr>
          <w:rStyle w:val="NormalCharacter"/>
          <w:rFonts w:ascii="黑体" w:eastAsia="黑体" w:hAnsi="黑体"/>
          <w:b w:val="0"/>
        </w:rPr>
      </w:pPr>
      <w:bookmarkStart w:id="112" w:name="_Toc36114052"/>
      <w:r w:rsidRPr="00065F52">
        <w:rPr>
          <w:rStyle w:val="NormalCharacter"/>
          <w:rFonts w:ascii="黑体" w:eastAsia="黑体" w:hAnsi="黑体" w:hint="eastAsia"/>
          <w:b w:val="0"/>
        </w:rPr>
        <w:t>一、平衡保护、审慎处理原则</w:t>
      </w:r>
      <w:bookmarkEnd w:id="112"/>
    </w:p>
    <w:p w:rsidR="001503D0" w:rsidRPr="00065F52" w:rsidRDefault="001503D0" w:rsidP="001503D0">
      <w:pPr>
        <w:ind w:firstLineChars="200" w:firstLine="640"/>
        <w:rPr>
          <w:rStyle w:val="NormalCharacter"/>
          <w:rFonts w:ascii="仿宋_GB2312" w:eastAsia="仿宋_GB2312"/>
          <w:sz w:val="32"/>
          <w:szCs w:val="32"/>
        </w:rPr>
      </w:pPr>
      <w:r w:rsidRPr="00065F52">
        <w:rPr>
          <w:rStyle w:val="NormalCharacter"/>
          <w:rFonts w:ascii="仿宋_GB2312" w:eastAsia="仿宋_GB2312" w:hint="eastAsia"/>
          <w:sz w:val="32"/>
          <w:szCs w:val="32"/>
        </w:rPr>
        <w:t>设立第三人撤销之</w:t>
      </w:r>
      <w:proofErr w:type="gramStart"/>
      <w:r w:rsidRPr="00065F52">
        <w:rPr>
          <w:rStyle w:val="NormalCharacter"/>
          <w:rFonts w:ascii="仿宋_GB2312" w:eastAsia="仿宋_GB2312" w:hint="eastAsia"/>
          <w:sz w:val="32"/>
          <w:szCs w:val="32"/>
        </w:rPr>
        <w:t>诉制度</w:t>
      </w:r>
      <w:proofErr w:type="gramEnd"/>
      <w:r w:rsidRPr="00065F52">
        <w:rPr>
          <w:rStyle w:val="NormalCharacter"/>
          <w:rFonts w:ascii="仿宋_GB2312" w:eastAsia="仿宋_GB2312" w:hint="eastAsia"/>
          <w:sz w:val="32"/>
          <w:szCs w:val="32"/>
        </w:rPr>
        <w:t>的目的在于为案外人提供更多权利救济途径，但其系事后启动的纠错程序，涉及生效裁判的既判力和稳定性。因此，在审判实践中，应坚持平衡保</w:t>
      </w:r>
      <w:r w:rsidRPr="00065F52">
        <w:rPr>
          <w:rStyle w:val="NormalCharacter"/>
          <w:rFonts w:ascii="仿宋_GB2312" w:eastAsia="仿宋_GB2312" w:hint="eastAsia"/>
          <w:sz w:val="32"/>
          <w:szCs w:val="32"/>
        </w:rPr>
        <w:lastRenderedPageBreak/>
        <w:t>护理念，既确保符合法定资格的第三人的合法权益得到保证，也应</w:t>
      </w:r>
      <w:proofErr w:type="gramStart"/>
      <w:r w:rsidRPr="00065F52">
        <w:rPr>
          <w:rStyle w:val="NormalCharacter"/>
          <w:rFonts w:ascii="仿宋_GB2312" w:eastAsia="仿宋_GB2312" w:hint="eastAsia"/>
          <w:sz w:val="32"/>
          <w:szCs w:val="32"/>
        </w:rPr>
        <w:t>将滥诉</w:t>
      </w:r>
      <w:proofErr w:type="gramEnd"/>
      <w:r w:rsidRPr="00065F52">
        <w:rPr>
          <w:rStyle w:val="NormalCharacter"/>
          <w:rFonts w:ascii="仿宋_GB2312" w:eastAsia="仿宋_GB2312" w:hint="eastAsia"/>
          <w:sz w:val="32"/>
          <w:szCs w:val="32"/>
        </w:rPr>
        <w:t>的案外人排除在外，应结合第三人撤销之诉的法定构成要件对案件进行严加审查，对不符合起诉条件的第三人依法不予受理或驳回起诉，减少各方当事人的诉累，维护司法的权威和社会秩序的稳定。</w:t>
      </w:r>
    </w:p>
    <w:p w:rsidR="001503D0" w:rsidRPr="00065F52" w:rsidRDefault="001503D0" w:rsidP="001503D0">
      <w:pPr>
        <w:pStyle w:val="2"/>
        <w:spacing w:before="0" w:after="0"/>
        <w:ind w:firstLineChars="200" w:firstLine="640"/>
        <w:rPr>
          <w:rStyle w:val="NormalCharacter"/>
          <w:rFonts w:ascii="黑体" w:eastAsia="黑体" w:hAnsi="黑体"/>
          <w:b w:val="0"/>
        </w:rPr>
      </w:pPr>
      <w:bookmarkStart w:id="113" w:name="_Toc36114053"/>
      <w:r w:rsidRPr="00065F52">
        <w:rPr>
          <w:rStyle w:val="NormalCharacter"/>
          <w:rFonts w:ascii="黑体" w:eastAsia="黑体" w:hAnsi="黑体" w:hint="eastAsia"/>
          <w:b w:val="0"/>
        </w:rPr>
        <w:t>二、程序择</w:t>
      </w:r>
      <w:proofErr w:type="gramStart"/>
      <w:r w:rsidRPr="00065F52">
        <w:rPr>
          <w:rStyle w:val="NormalCharacter"/>
          <w:rFonts w:ascii="黑体" w:eastAsia="黑体" w:hAnsi="黑体" w:hint="eastAsia"/>
          <w:b w:val="0"/>
        </w:rPr>
        <w:t>一</w:t>
      </w:r>
      <w:proofErr w:type="gramEnd"/>
      <w:r w:rsidRPr="00065F52">
        <w:rPr>
          <w:rStyle w:val="NormalCharacter"/>
          <w:rFonts w:ascii="黑体" w:eastAsia="黑体" w:hAnsi="黑体" w:hint="eastAsia"/>
          <w:b w:val="0"/>
        </w:rPr>
        <w:t>适用原则</w:t>
      </w:r>
      <w:bookmarkEnd w:id="113"/>
    </w:p>
    <w:p w:rsidR="001503D0" w:rsidRPr="00065F52" w:rsidRDefault="001503D0" w:rsidP="001503D0">
      <w:pPr>
        <w:ind w:firstLineChars="200" w:firstLine="640"/>
        <w:rPr>
          <w:rStyle w:val="NormalCharacter"/>
          <w:rFonts w:ascii="仿宋_GB2312" w:eastAsia="仿宋_GB2312"/>
          <w:sz w:val="32"/>
          <w:szCs w:val="32"/>
        </w:rPr>
      </w:pPr>
      <w:r w:rsidRPr="00065F52">
        <w:rPr>
          <w:rStyle w:val="NormalCharacter"/>
          <w:rFonts w:ascii="仿宋_GB2312" w:eastAsia="仿宋_GB2312" w:hint="eastAsia"/>
          <w:sz w:val="32"/>
          <w:szCs w:val="32"/>
        </w:rPr>
        <w:t>我国民事诉讼法司法解释第303条规定，第三人提起撤销之诉后，未中止生效判决、裁定、调解书执行的，执行法院对第三人依照民事诉讼法第二百二十七条规定提出的执行异议，应</w:t>
      </w:r>
      <w:proofErr w:type="gramStart"/>
      <w:r w:rsidRPr="00065F52">
        <w:rPr>
          <w:rStyle w:val="NormalCharacter"/>
          <w:rFonts w:ascii="仿宋_GB2312" w:eastAsia="仿宋_GB2312" w:hint="eastAsia"/>
          <w:sz w:val="32"/>
          <w:szCs w:val="32"/>
        </w:rPr>
        <w:t>予审</w:t>
      </w:r>
      <w:proofErr w:type="gramEnd"/>
      <w:r w:rsidRPr="00065F52">
        <w:rPr>
          <w:rStyle w:val="NormalCharacter"/>
          <w:rFonts w:ascii="仿宋_GB2312" w:eastAsia="仿宋_GB2312" w:hint="eastAsia"/>
          <w:sz w:val="32"/>
          <w:szCs w:val="32"/>
        </w:rPr>
        <w:t>查。第三人不服驳回执行异议裁定，申请对原判决、裁定、调解书再审的，人民法院不予受理。案外人对人民法院驳回其执行异议裁定不服，认为原判决、裁定、调解书内容错误损害其合法权益的，应当根据民事诉讼法第二百二十七条规定申请再审，提起第三人撤销之诉的，人民法院不予受理。因此，当事人只能依法选择一种救济程序，一旦选择则不能变更。该条处理原则既能避免程序上的交叉、裁判结果的矛盾冲突，也有利于减轻当事人的诉累，节约司法资源，提高</w:t>
      </w:r>
      <w:r w:rsidR="004B7EF8">
        <w:rPr>
          <w:rStyle w:val="NormalCharacter"/>
          <w:rFonts w:ascii="仿宋_GB2312" w:eastAsia="仿宋_GB2312" w:hint="eastAsia"/>
          <w:sz w:val="32"/>
          <w:szCs w:val="32"/>
        </w:rPr>
        <w:t>诉讼</w:t>
      </w:r>
      <w:r w:rsidRPr="00065F52">
        <w:rPr>
          <w:rStyle w:val="NormalCharacter"/>
          <w:rFonts w:ascii="仿宋_GB2312" w:eastAsia="仿宋_GB2312" w:hint="eastAsia"/>
          <w:sz w:val="32"/>
          <w:szCs w:val="32"/>
        </w:rPr>
        <w:t>效率。</w:t>
      </w:r>
    </w:p>
    <w:p w:rsidR="001503D0" w:rsidRPr="00065F52" w:rsidRDefault="001503D0" w:rsidP="001503D0">
      <w:pPr>
        <w:pStyle w:val="2"/>
        <w:spacing w:before="0" w:after="0"/>
        <w:ind w:firstLineChars="200" w:firstLine="640"/>
        <w:rPr>
          <w:rStyle w:val="NormalCharacter"/>
          <w:rFonts w:ascii="黑体" w:eastAsia="黑体" w:hAnsi="黑体"/>
          <w:b w:val="0"/>
        </w:rPr>
      </w:pPr>
      <w:bookmarkStart w:id="114" w:name="_Toc36114054"/>
      <w:r w:rsidRPr="00065F52">
        <w:rPr>
          <w:rStyle w:val="NormalCharacter"/>
          <w:rFonts w:ascii="黑体" w:eastAsia="黑体" w:hAnsi="黑体" w:hint="eastAsia"/>
          <w:b w:val="0"/>
        </w:rPr>
        <w:t>三、提高审执效率原则</w:t>
      </w:r>
      <w:bookmarkEnd w:id="114"/>
    </w:p>
    <w:p w:rsidR="001503D0" w:rsidRPr="00065F52" w:rsidRDefault="001503D0" w:rsidP="001503D0">
      <w:pPr>
        <w:ind w:firstLineChars="200" w:firstLine="640"/>
        <w:rPr>
          <w:rStyle w:val="NormalCharacter"/>
          <w:rFonts w:ascii="仿宋_GB2312" w:eastAsia="仿宋_GB2312"/>
          <w:sz w:val="32"/>
          <w:szCs w:val="32"/>
        </w:rPr>
      </w:pPr>
      <w:r w:rsidRPr="00065F52">
        <w:rPr>
          <w:rStyle w:val="NormalCharacter"/>
          <w:rFonts w:ascii="仿宋_GB2312" w:eastAsia="仿宋_GB2312" w:hint="eastAsia"/>
          <w:sz w:val="32"/>
          <w:szCs w:val="32"/>
        </w:rPr>
        <w:t>第三人撤销之诉原则上无中止执行原生效裁判的效力，但我国民事诉讼法司法解释第299条明确规定，受理第三人撤销之诉案件后，原告提供相应担保，请求中止执行的，人</w:t>
      </w:r>
      <w:r w:rsidRPr="00065F52">
        <w:rPr>
          <w:rStyle w:val="NormalCharacter"/>
          <w:rFonts w:ascii="仿宋_GB2312" w:eastAsia="仿宋_GB2312" w:hint="eastAsia"/>
          <w:sz w:val="32"/>
          <w:szCs w:val="32"/>
        </w:rPr>
        <w:lastRenderedPageBreak/>
        <w:t>民法院可以准许。因此，为避免当事人恶意提起诉讼规避执行，应加大对第三人撤销之诉案件的审查标准。在立案程序中，适当进行实质审查，从源头上严把立案关，对不符合立案条件的案件，应当在收到起诉状之日起三十日内裁定不予受理，维护生效裁判的稳定性，确保执行案件的顺利执行。在案件审理程序中，对当事人请求中止执行的，应由法院根据案件审理情况，排除当事人恶意诉讼、拖延审判执行情形时依法确定。同时，尽量缩短审理周期，依法及时裁判。</w:t>
      </w:r>
    </w:p>
    <w:p w:rsidR="001503D0" w:rsidRPr="00065F52" w:rsidRDefault="001503D0" w:rsidP="001503D0">
      <w:pPr>
        <w:spacing w:line="560" w:lineRule="exact"/>
        <w:ind w:firstLineChars="200" w:firstLine="640"/>
        <w:rPr>
          <w:rStyle w:val="NormalCharacter"/>
          <w:rFonts w:ascii="仿宋_GB2312" w:eastAsia="仿宋_GB2312"/>
          <w:sz w:val="32"/>
          <w:szCs w:val="32"/>
        </w:rPr>
      </w:pPr>
    </w:p>
    <w:p w:rsidR="001503D0" w:rsidRPr="005F55B3" w:rsidRDefault="001503D0" w:rsidP="001503D0">
      <w:pPr>
        <w:pStyle w:val="1"/>
        <w:spacing w:before="0" w:after="0"/>
        <w:jc w:val="center"/>
        <w:rPr>
          <w:rStyle w:val="NormalCharacter"/>
          <w:rFonts w:ascii="方正小标宋简体" w:eastAsia="方正小标宋简体"/>
          <w:b w:val="0"/>
          <w:bCs w:val="0"/>
          <w:kern w:val="2"/>
          <w:sz w:val="32"/>
          <w:szCs w:val="32"/>
        </w:rPr>
      </w:pPr>
      <w:bookmarkStart w:id="115" w:name="_Toc36114063"/>
      <w:r w:rsidRPr="005F55B3">
        <w:rPr>
          <w:rStyle w:val="NormalCharacter"/>
          <w:rFonts w:ascii="方正小标宋简体" w:eastAsia="方正小标宋简体" w:hint="eastAsia"/>
          <w:b w:val="0"/>
          <w:bCs w:val="0"/>
          <w:kern w:val="2"/>
          <w:sz w:val="32"/>
          <w:szCs w:val="32"/>
        </w:rPr>
        <w:t>第</w:t>
      </w:r>
      <w:r w:rsidR="00E72CBF" w:rsidRPr="005F55B3">
        <w:rPr>
          <w:rStyle w:val="NormalCharacter"/>
          <w:rFonts w:ascii="方正小标宋简体" w:eastAsia="方正小标宋简体" w:hint="eastAsia"/>
          <w:b w:val="0"/>
          <w:bCs w:val="0"/>
          <w:kern w:val="2"/>
          <w:sz w:val="32"/>
          <w:szCs w:val="32"/>
        </w:rPr>
        <w:t>四</w:t>
      </w:r>
      <w:r w:rsidRPr="005F55B3">
        <w:rPr>
          <w:rStyle w:val="NormalCharacter"/>
          <w:rFonts w:ascii="方正小标宋简体" w:eastAsia="方正小标宋简体" w:hint="eastAsia"/>
          <w:b w:val="0"/>
          <w:bCs w:val="0"/>
          <w:kern w:val="2"/>
          <w:sz w:val="32"/>
          <w:szCs w:val="32"/>
        </w:rPr>
        <w:t>章</w:t>
      </w:r>
      <w:r w:rsidR="00D93276">
        <w:rPr>
          <w:rStyle w:val="NormalCharacter"/>
          <w:rFonts w:ascii="方正小标宋简体" w:eastAsia="方正小标宋简体" w:hint="eastAsia"/>
          <w:b w:val="0"/>
          <w:bCs w:val="0"/>
          <w:kern w:val="2"/>
          <w:sz w:val="32"/>
          <w:szCs w:val="32"/>
        </w:rPr>
        <w:t xml:space="preserve">  </w:t>
      </w:r>
      <w:r w:rsidRPr="005F55B3">
        <w:rPr>
          <w:rStyle w:val="NormalCharacter"/>
          <w:rFonts w:ascii="方正小标宋简体" w:eastAsia="方正小标宋简体" w:hint="eastAsia"/>
          <w:b w:val="0"/>
          <w:bCs w:val="0"/>
          <w:kern w:val="2"/>
          <w:sz w:val="32"/>
          <w:szCs w:val="32"/>
        </w:rPr>
        <w:t>第三人撤销之诉案件的启示和建议</w:t>
      </w:r>
      <w:bookmarkEnd w:id="115"/>
    </w:p>
    <w:p w:rsidR="001503D0" w:rsidRPr="00065F52" w:rsidRDefault="001503D0" w:rsidP="001503D0">
      <w:pPr>
        <w:pStyle w:val="2"/>
        <w:spacing w:before="0" w:after="0"/>
        <w:ind w:firstLineChars="200" w:firstLine="640"/>
        <w:rPr>
          <w:rStyle w:val="NormalCharacter"/>
          <w:rFonts w:ascii="黑体" w:eastAsia="黑体" w:hAnsi="黑体" w:cs="Times New Roman"/>
          <w:b w:val="0"/>
          <w:bCs w:val="0"/>
        </w:rPr>
      </w:pPr>
      <w:bookmarkStart w:id="116" w:name="_Toc36114064"/>
      <w:r w:rsidRPr="00065F52">
        <w:rPr>
          <w:rStyle w:val="NormalCharacter"/>
          <w:rFonts w:ascii="黑体" w:eastAsia="黑体" w:hAnsi="黑体" w:cs="Times New Roman" w:hint="eastAsia"/>
          <w:b w:val="0"/>
          <w:bCs w:val="0"/>
        </w:rPr>
        <w:t>一、完善诉讼告知制度，规范审理程序</w:t>
      </w:r>
      <w:bookmarkEnd w:id="116"/>
    </w:p>
    <w:p w:rsidR="001503D0" w:rsidRPr="00065F52" w:rsidRDefault="001503D0" w:rsidP="001503D0">
      <w:pPr>
        <w:spacing w:line="560" w:lineRule="exact"/>
        <w:ind w:firstLineChars="200" w:firstLine="640"/>
        <w:rPr>
          <w:rStyle w:val="NormalCharacter"/>
          <w:rFonts w:ascii="仿宋_GB2312" w:eastAsia="仿宋_GB2312"/>
          <w:sz w:val="32"/>
          <w:szCs w:val="32"/>
        </w:rPr>
      </w:pPr>
      <w:r w:rsidRPr="00065F52">
        <w:rPr>
          <w:rStyle w:val="NormalCharacter"/>
          <w:rFonts w:ascii="仿宋_GB2312" w:eastAsia="仿宋_GB2312" w:hint="eastAsia"/>
          <w:sz w:val="32"/>
          <w:szCs w:val="32"/>
        </w:rPr>
        <w:t>此制度指法院依职权告知和当事人诉讼告知第三人参与诉讼的制度。第三人撤销之</w:t>
      </w:r>
      <w:proofErr w:type="gramStart"/>
      <w:r w:rsidRPr="00065F52">
        <w:rPr>
          <w:rStyle w:val="NormalCharacter"/>
          <w:rFonts w:ascii="仿宋_GB2312" w:eastAsia="仿宋_GB2312" w:hint="eastAsia"/>
          <w:sz w:val="32"/>
          <w:szCs w:val="32"/>
        </w:rPr>
        <w:t>诉制度</w:t>
      </w:r>
      <w:proofErr w:type="gramEnd"/>
      <w:r w:rsidRPr="00065F52">
        <w:rPr>
          <w:rStyle w:val="NormalCharacter"/>
          <w:rFonts w:ascii="仿宋_GB2312" w:eastAsia="仿宋_GB2312" w:hint="eastAsia"/>
          <w:sz w:val="32"/>
          <w:szCs w:val="32"/>
        </w:rPr>
        <w:t>并非是单纯鼓励案外第三人在裁判生效后去启动救济的制度，更是实现督促法院诉讼告知以及鼓励当事人请求第三人参加诉讼以实现民事审判功能最大化的手段。该制度的价值既在于向第三人提供事后的程序保障，也在于对事前保障所形成的倒逼机制。因此，应通过在前诉中强化事前的程序保障，使程序保障防患于未然。实施诉讼告知制度后，第三人在收到告知后应当及时参与诉讼，除非因客观原因不能参加诉讼，否则应视为其已经参与诉讼，不能再依据第三</w:t>
      </w:r>
      <w:proofErr w:type="gramStart"/>
      <w:r w:rsidRPr="00065F52">
        <w:rPr>
          <w:rStyle w:val="NormalCharacter"/>
          <w:rFonts w:ascii="仿宋_GB2312" w:eastAsia="仿宋_GB2312" w:hint="eastAsia"/>
          <w:sz w:val="32"/>
          <w:szCs w:val="32"/>
        </w:rPr>
        <w:t>人制</w:t>
      </w:r>
      <w:proofErr w:type="gramEnd"/>
      <w:r w:rsidRPr="00065F52">
        <w:rPr>
          <w:rStyle w:val="NormalCharacter"/>
          <w:rFonts w:ascii="仿宋_GB2312" w:eastAsia="仿宋_GB2312" w:hint="eastAsia"/>
          <w:sz w:val="32"/>
          <w:szCs w:val="32"/>
        </w:rPr>
        <w:t>度寻求救济。另外，也有利于督促办案人在原审诉讼程序中，根据案件事实及当事人主张，全面审查案件是否</w:t>
      </w:r>
      <w:proofErr w:type="gramStart"/>
      <w:r w:rsidRPr="00065F52">
        <w:rPr>
          <w:rStyle w:val="NormalCharacter"/>
          <w:rFonts w:ascii="仿宋_GB2312" w:eastAsia="仿宋_GB2312" w:hint="eastAsia"/>
          <w:sz w:val="32"/>
          <w:szCs w:val="32"/>
        </w:rPr>
        <w:t>涉及案</w:t>
      </w:r>
      <w:proofErr w:type="gramEnd"/>
      <w:r w:rsidRPr="00065F52">
        <w:rPr>
          <w:rStyle w:val="NormalCharacter"/>
          <w:rFonts w:ascii="仿宋_GB2312" w:eastAsia="仿宋_GB2312" w:hint="eastAsia"/>
          <w:sz w:val="32"/>
          <w:szCs w:val="32"/>
        </w:rPr>
        <w:t>外人权益，保障第三人充分参</w:t>
      </w:r>
      <w:r w:rsidRPr="00065F52">
        <w:rPr>
          <w:rStyle w:val="NormalCharacter"/>
          <w:rFonts w:ascii="仿宋_GB2312" w:eastAsia="仿宋_GB2312" w:hint="eastAsia"/>
          <w:sz w:val="32"/>
          <w:szCs w:val="32"/>
        </w:rPr>
        <w:lastRenderedPageBreak/>
        <w:t>与诉讼，减少当事人诉累，提高诉讼效率，降低诉讼成本，最大程度解决纠纷。</w:t>
      </w:r>
    </w:p>
    <w:p w:rsidR="001503D0" w:rsidRPr="00065F52" w:rsidRDefault="001503D0" w:rsidP="001503D0">
      <w:pPr>
        <w:pStyle w:val="2"/>
        <w:spacing w:before="0" w:after="0"/>
        <w:ind w:firstLineChars="200" w:firstLine="640"/>
        <w:rPr>
          <w:rStyle w:val="NormalCharacter"/>
          <w:rFonts w:ascii="黑体" w:eastAsia="黑体" w:hAnsi="黑体" w:cs="Times New Roman"/>
          <w:b w:val="0"/>
          <w:bCs w:val="0"/>
        </w:rPr>
      </w:pPr>
      <w:bookmarkStart w:id="117" w:name="_Toc36114065"/>
      <w:r w:rsidRPr="00065F52">
        <w:rPr>
          <w:rStyle w:val="NormalCharacter"/>
          <w:rFonts w:ascii="黑体" w:eastAsia="黑体" w:hAnsi="黑体" w:cs="Times New Roman" w:hint="eastAsia"/>
          <w:b w:val="0"/>
          <w:bCs w:val="0"/>
        </w:rPr>
        <w:t>二、</w:t>
      </w:r>
      <w:proofErr w:type="gramStart"/>
      <w:r w:rsidRPr="00065F52">
        <w:rPr>
          <w:rStyle w:val="NormalCharacter"/>
          <w:rFonts w:ascii="黑体" w:eastAsia="黑体" w:hAnsi="黑体" w:cs="Times New Roman" w:hint="eastAsia"/>
          <w:b w:val="0"/>
          <w:bCs w:val="0"/>
        </w:rPr>
        <w:t>严格案</w:t>
      </w:r>
      <w:proofErr w:type="gramEnd"/>
      <w:r w:rsidRPr="00065F52">
        <w:rPr>
          <w:rStyle w:val="NormalCharacter"/>
          <w:rFonts w:ascii="黑体" w:eastAsia="黑体" w:hAnsi="黑体" w:cs="Times New Roman" w:hint="eastAsia"/>
          <w:b w:val="0"/>
          <w:bCs w:val="0"/>
        </w:rPr>
        <w:t>外人的程序选择权</w:t>
      </w:r>
      <w:bookmarkEnd w:id="117"/>
    </w:p>
    <w:p w:rsidR="001503D0" w:rsidRPr="00065F52" w:rsidRDefault="001503D0" w:rsidP="001503D0">
      <w:pPr>
        <w:ind w:firstLineChars="200" w:firstLine="640"/>
        <w:rPr>
          <w:rStyle w:val="NormalCharacter"/>
          <w:rFonts w:ascii="仿宋_GB2312" w:eastAsia="仿宋_GB2312"/>
          <w:sz w:val="32"/>
          <w:szCs w:val="32"/>
        </w:rPr>
      </w:pPr>
      <w:r w:rsidRPr="00065F52">
        <w:rPr>
          <w:rStyle w:val="NormalCharacter"/>
          <w:rFonts w:ascii="仿宋_GB2312" w:eastAsia="仿宋_GB2312" w:hint="eastAsia"/>
          <w:sz w:val="32"/>
          <w:szCs w:val="32"/>
        </w:rPr>
        <w:t>案外人救济案件</w:t>
      </w:r>
      <w:proofErr w:type="gramStart"/>
      <w:r w:rsidRPr="00065F52">
        <w:rPr>
          <w:rStyle w:val="NormalCharacter"/>
          <w:rFonts w:ascii="仿宋_GB2312" w:eastAsia="仿宋_GB2312" w:hint="eastAsia"/>
          <w:sz w:val="32"/>
          <w:szCs w:val="32"/>
        </w:rPr>
        <w:t>包括案</w:t>
      </w:r>
      <w:proofErr w:type="gramEnd"/>
      <w:r w:rsidRPr="00065F52">
        <w:rPr>
          <w:rStyle w:val="NormalCharacter"/>
          <w:rFonts w:ascii="仿宋_GB2312" w:eastAsia="仿宋_GB2312" w:hint="eastAsia"/>
          <w:sz w:val="32"/>
          <w:szCs w:val="32"/>
        </w:rPr>
        <w:t>外人申请再审、案外人执行异议之诉和第三人撤销之诉三种类型。上述三种类型赋予了第三人更多的选择权，在为案外人权利保障提供全方位救济的同时，也应明确不同的适用程序。根据我国民事诉讼法司法解释第303条的相关规定，第三人提起撤销之诉后，未中止生效判决、裁定、调解书执行的，执行法院对第三人依照民事诉讼法第二百二十七条规定提出的执行异议，应</w:t>
      </w:r>
      <w:proofErr w:type="gramStart"/>
      <w:r w:rsidRPr="00065F52">
        <w:rPr>
          <w:rStyle w:val="NormalCharacter"/>
          <w:rFonts w:ascii="仿宋_GB2312" w:eastAsia="仿宋_GB2312" w:hint="eastAsia"/>
          <w:sz w:val="32"/>
          <w:szCs w:val="32"/>
        </w:rPr>
        <w:t>予审</w:t>
      </w:r>
      <w:proofErr w:type="gramEnd"/>
      <w:r w:rsidRPr="00065F52">
        <w:rPr>
          <w:rStyle w:val="NormalCharacter"/>
          <w:rFonts w:ascii="仿宋_GB2312" w:eastAsia="仿宋_GB2312" w:hint="eastAsia"/>
          <w:sz w:val="32"/>
          <w:szCs w:val="32"/>
        </w:rPr>
        <w:t>查。第三人不服驳回执行异议裁定，申请对原判决、裁定、调解书再审的，人民法院不予受理。案外人对人民法院驳回其执行异议裁定不服，认为原判决、裁定、调解书内容错误损害其合法权益的，应当根据民事诉讼法第二百二十七条规定申请再审，提起第三人撤销之诉的，人民法院不予受理。因此，第三人应当结合自身情况慎重选择，在选择某一救济程序之后不得再选择其他的救济程序，避免出现当事人滥诉，加大当事人诉累，浪费司法资源的情形。</w:t>
      </w:r>
    </w:p>
    <w:p w:rsidR="001503D0" w:rsidRPr="00065F52" w:rsidRDefault="001503D0" w:rsidP="001503D0">
      <w:pPr>
        <w:pStyle w:val="2"/>
        <w:spacing w:before="0" w:after="0"/>
        <w:ind w:firstLineChars="200" w:firstLine="640"/>
        <w:rPr>
          <w:rStyle w:val="NormalCharacter"/>
          <w:rFonts w:ascii="黑体" w:eastAsia="黑体" w:hAnsi="黑体" w:cs="Times New Roman"/>
          <w:b w:val="0"/>
          <w:bCs w:val="0"/>
        </w:rPr>
      </w:pPr>
      <w:bookmarkStart w:id="118" w:name="_Toc36114066"/>
      <w:r w:rsidRPr="00065F52">
        <w:rPr>
          <w:rStyle w:val="NormalCharacter"/>
          <w:rFonts w:ascii="黑体" w:eastAsia="黑体" w:hAnsi="黑体" w:cs="Times New Roman" w:hint="eastAsia"/>
          <w:b w:val="0"/>
          <w:bCs w:val="0"/>
        </w:rPr>
        <w:t>三、</w:t>
      </w:r>
      <w:proofErr w:type="gramStart"/>
      <w:r w:rsidRPr="00065F52">
        <w:rPr>
          <w:rStyle w:val="NormalCharacter"/>
          <w:rFonts w:ascii="黑体" w:eastAsia="黑体" w:hAnsi="黑体" w:cs="Times New Roman" w:hint="eastAsia"/>
          <w:b w:val="0"/>
          <w:bCs w:val="0"/>
        </w:rPr>
        <w:t>强化案</w:t>
      </w:r>
      <w:proofErr w:type="gramEnd"/>
      <w:r w:rsidRPr="00065F52">
        <w:rPr>
          <w:rStyle w:val="NormalCharacter"/>
          <w:rFonts w:ascii="黑体" w:eastAsia="黑体" w:hAnsi="黑体" w:cs="Times New Roman" w:hint="eastAsia"/>
          <w:b w:val="0"/>
          <w:bCs w:val="0"/>
        </w:rPr>
        <w:t>外人的风险</w:t>
      </w:r>
      <w:r w:rsidR="00BA1ED9" w:rsidRPr="00ED6878">
        <w:rPr>
          <w:rStyle w:val="NormalCharacter"/>
          <w:rFonts w:ascii="黑体" w:eastAsia="黑体" w:hAnsi="黑体" w:cs="Times New Roman" w:hint="eastAsia"/>
          <w:b w:val="0"/>
          <w:bCs w:val="0"/>
        </w:rPr>
        <w:t>防范</w:t>
      </w:r>
      <w:r w:rsidRPr="00ED6878">
        <w:rPr>
          <w:rStyle w:val="NormalCharacter"/>
          <w:rFonts w:ascii="黑体" w:eastAsia="黑体" w:hAnsi="黑体" w:cs="Times New Roman" w:hint="eastAsia"/>
          <w:b w:val="0"/>
          <w:bCs w:val="0"/>
        </w:rPr>
        <w:t>意识</w:t>
      </w:r>
      <w:r w:rsidRPr="00065F52">
        <w:rPr>
          <w:rStyle w:val="NormalCharacter"/>
          <w:rFonts w:ascii="黑体" w:eastAsia="黑体" w:hAnsi="黑体" w:cs="Times New Roman" w:hint="eastAsia"/>
          <w:b w:val="0"/>
          <w:bCs w:val="0"/>
        </w:rPr>
        <w:t>，有效避免权益受损</w:t>
      </w:r>
      <w:bookmarkEnd w:id="118"/>
    </w:p>
    <w:p w:rsidR="001503D0" w:rsidRPr="00065F52" w:rsidRDefault="001503D0" w:rsidP="001503D0">
      <w:pPr>
        <w:ind w:firstLineChars="200" w:firstLine="640"/>
        <w:rPr>
          <w:rStyle w:val="NormalCharacter"/>
          <w:rFonts w:ascii="仿宋_GB2312" w:eastAsia="仿宋_GB2312"/>
          <w:sz w:val="32"/>
          <w:szCs w:val="32"/>
        </w:rPr>
      </w:pPr>
      <w:r w:rsidRPr="00065F52">
        <w:rPr>
          <w:rStyle w:val="NormalCharacter"/>
          <w:rFonts w:ascii="仿宋_GB2312" w:eastAsia="仿宋_GB2312" w:hint="eastAsia"/>
          <w:sz w:val="32"/>
          <w:szCs w:val="32"/>
        </w:rPr>
        <w:t>从审判实践分析，第三人撤销之诉案件数量持续增长，这与案外人对法律规定理解不全面、缺乏风险防范意识，甚至存有侥幸心理密切相关。特别是在房地产买卖领域，买受</w:t>
      </w:r>
      <w:r w:rsidRPr="00065F52">
        <w:rPr>
          <w:rStyle w:val="NormalCharacter"/>
          <w:rFonts w:ascii="仿宋_GB2312" w:eastAsia="仿宋_GB2312" w:hint="eastAsia"/>
          <w:sz w:val="32"/>
          <w:szCs w:val="32"/>
        </w:rPr>
        <w:lastRenderedPageBreak/>
        <w:t>人对所购不动产的权利状态未全面了解，对不动产是否存在权利负担不清楚，尤其是出现房屋未及时办理过户而出卖人因另案诉讼被查封、拍卖时，容易造成物权期待权不能有效实现，致使合法权益受损。因此，买受人在房产买卖中应全面了解不动产权利状态，现场实地查看房屋占有状况，保存好房款支付的相应证据，及时交付占有房屋并办理过户登记。因离婚协议涉及的房产归属约定而引发的纠纷也是第三人撤销之诉的高发领域。根据相关法律规定，夫妻婚姻关系存续期间的不动产</w:t>
      </w:r>
      <w:proofErr w:type="gramStart"/>
      <w:r w:rsidRPr="00065F52">
        <w:rPr>
          <w:rStyle w:val="NormalCharacter"/>
          <w:rFonts w:ascii="仿宋_GB2312" w:eastAsia="仿宋_GB2312" w:hint="eastAsia"/>
          <w:sz w:val="32"/>
          <w:szCs w:val="32"/>
        </w:rPr>
        <w:t>虽登记</w:t>
      </w:r>
      <w:proofErr w:type="gramEnd"/>
      <w:r w:rsidRPr="00065F52">
        <w:rPr>
          <w:rStyle w:val="NormalCharacter"/>
          <w:rFonts w:ascii="仿宋_GB2312" w:eastAsia="仿宋_GB2312" w:hint="eastAsia"/>
          <w:sz w:val="32"/>
          <w:szCs w:val="32"/>
        </w:rPr>
        <w:t>在一方名下，但除非双方另有约定，应归属双方共有。而夫妻双方离婚后对夫妻共同财产的协议分割未经依法办理变更登记，不能对抗第三人。实践中大量存在另一方的债权人请求执行已协议归属一方不动产的情况。因此，夫妻双方在离婚后对婚姻关系存续期间取得的不动产权属进行重新协议约定、与登记状况不一致时，应及时办理变更登记，避免引发不必要的争议。另外，银行基于抵押权与建设工程价款优先受偿权对抗而引发的第三人撤销之诉案件也不在少数。银行在发放贷款时应全面审查借款人的整体清偿能力，关注借款人的资产负债及正常交易流水情况，全面了解抵押物的权属状况，综合评估借款人的责任财产能力，避免不必要的诉讼风险。</w:t>
      </w:r>
    </w:p>
    <w:p w:rsidR="001503D0" w:rsidRPr="00065F52" w:rsidRDefault="001503D0" w:rsidP="001503D0">
      <w:pPr>
        <w:pStyle w:val="2"/>
        <w:spacing w:before="0" w:after="0"/>
        <w:ind w:firstLineChars="200" w:firstLine="640"/>
        <w:rPr>
          <w:rStyle w:val="NormalCharacter"/>
          <w:rFonts w:ascii="黑体" w:eastAsia="黑体" w:hAnsi="黑体" w:cs="Times New Roman"/>
          <w:b w:val="0"/>
          <w:bCs w:val="0"/>
        </w:rPr>
      </w:pPr>
      <w:bookmarkStart w:id="119" w:name="_Toc36114067"/>
      <w:r w:rsidRPr="00065F52">
        <w:rPr>
          <w:rStyle w:val="NormalCharacter"/>
          <w:rFonts w:ascii="黑体" w:eastAsia="黑体" w:hAnsi="黑体" w:cs="Times New Roman" w:hint="eastAsia"/>
          <w:b w:val="0"/>
          <w:bCs w:val="0"/>
        </w:rPr>
        <w:t>四、从严立案，限制滥诉，减轻当事人诉累</w:t>
      </w:r>
      <w:bookmarkEnd w:id="119"/>
    </w:p>
    <w:p w:rsidR="001503D0" w:rsidRPr="00065F52" w:rsidRDefault="001503D0" w:rsidP="001503D0">
      <w:pPr>
        <w:spacing w:line="560" w:lineRule="exact"/>
        <w:ind w:firstLineChars="200" w:firstLine="640"/>
        <w:rPr>
          <w:rStyle w:val="NormalCharacter"/>
          <w:rFonts w:ascii="仿宋_GB2312" w:eastAsia="仿宋_GB2312"/>
          <w:sz w:val="32"/>
          <w:szCs w:val="32"/>
        </w:rPr>
      </w:pPr>
      <w:r w:rsidRPr="00065F52">
        <w:rPr>
          <w:rStyle w:val="NormalCharacter"/>
          <w:rFonts w:ascii="仿宋_GB2312" w:eastAsia="仿宋_GB2312" w:hint="eastAsia"/>
          <w:sz w:val="32"/>
          <w:szCs w:val="32"/>
        </w:rPr>
        <w:t>第三人撤销之</w:t>
      </w:r>
      <w:proofErr w:type="gramStart"/>
      <w:r w:rsidRPr="00065F52">
        <w:rPr>
          <w:rStyle w:val="NormalCharacter"/>
          <w:rFonts w:ascii="仿宋_GB2312" w:eastAsia="仿宋_GB2312" w:hint="eastAsia"/>
          <w:sz w:val="32"/>
          <w:szCs w:val="32"/>
        </w:rPr>
        <w:t>诉作为</w:t>
      </w:r>
      <w:proofErr w:type="gramEnd"/>
      <w:r w:rsidRPr="00065F52">
        <w:rPr>
          <w:rStyle w:val="NormalCharacter"/>
          <w:rFonts w:ascii="仿宋_GB2312" w:eastAsia="仿宋_GB2312" w:hint="eastAsia"/>
          <w:sz w:val="32"/>
          <w:szCs w:val="32"/>
        </w:rPr>
        <w:t>一种事后纠错程序，也是对裁判的</w:t>
      </w:r>
      <w:r w:rsidRPr="00065F52">
        <w:rPr>
          <w:rStyle w:val="NormalCharacter"/>
          <w:rFonts w:ascii="仿宋_GB2312" w:eastAsia="仿宋_GB2312" w:hint="eastAsia"/>
          <w:sz w:val="32"/>
          <w:szCs w:val="32"/>
        </w:rPr>
        <w:lastRenderedPageBreak/>
        <w:t>既判力的冲击，容易导致法院的裁判长期处于不稳定的状态，有损司法权威。实践中也存在部分被执行人与第三人恶意串通，借第三人撤销之诉规避执行、影响申请执行人合法权益的问题。因此，应对第三人撤销之诉从严把关，严格按照相关法律规定，以案外人权益是否受损为核心审查要件，既确保案外第三人权益的全面保护，又有效避免当事人的滥诉问题。在立案审查阶段和审判阶段，应对第三人提供的证据材料进行严格审查，合理分析、判断当事人是否存在主观</w:t>
      </w:r>
      <w:r w:rsidR="00BA1ED9" w:rsidRPr="00ED6878">
        <w:rPr>
          <w:rStyle w:val="NormalCharacter"/>
          <w:rFonts w:ascii="仿宋_GB2312" w:eastAsia="仿宋_GB2312" w:hint="eastAsia"/>
          <w:sz w:val="32"/>
          <w:szCs w:val="32"/>
        </w:rPr>
        <w:t>恶意</w:t>
      </w:r>
      <w:r w:rsidRPr="00ED6878">
        <w:rPr>
          <w:rStyle w:val="NormalCharacter"/>
          <w:rFonts w:ascii="仿宋_GB2312" w:eastAsia="仿宋_GB2312" w:hint="eastAsia"/>
          <w:sz w:val="32"/>
          <w:szCs w:val="32"/>
        </w:rPr>
        <w:t>，</w:t>
      </w:r>
      <w:r w:rsidRPr="00065F52">
        <w:rPr>
          <w:rStyle w:val="NormalCharacter"/>
          <w:rFonts w:ascii="仿宋_GB2312" w:eastAsia="仿宋_GB2312" w:hint="eastAsia"/>
          <w:sz w:val="32"/>
          <w:szCs w:val="32"/>
        </w:rPr>
        <w:t>对不符合起诉要件的案件依法予以驳回或不予受理。</w:t>
      </w:r>
    </w:p>
    <w:p w:rsidR="001503D0" w:rsidRPr="00065F52" w:rsidRDefault="001503D0" w:rsidP="001503D0">
      <w:pPr>
        <w:pStyle w:val="2"/>
        <w:spacing w:before="0" w:after="0"/>
        <w:ind w:firstLineChars="200" w:firstLine="640"/>
        <w:rPr>
          <w:rStyle w:val="NormalCharacter"/>
          <w:rFonts w:ascii="黑体" w:eastAsia="黑体" w:hAnsi="黑体" w:cs="Times New Roman"/>
          <w:b w:val="0"/>
          <w:bCs w:val="0"/>
        </w:rPr>
      </w:pPr>
      <w:bookmarkStart w:id="120" w:name="_Toc36114068"/>
      <w:r w:rsidRPr="00065F52">
        <w:rPr>
          <w:rStyle w:val="NormalCharacter"/>
          <w:rFonts w:ascii="黑体" w:eastAsia="黑体" w:hAnsi="黑体" w:cs="Times New Roman" w:hint="eastAsia"/>
          <w:b w:val="0"/>
          <w:bCs w:val="0"/>
        </w:rPr>
        <w:t>五、惩治恶意虚假诉讼，维护正常司法秩序</w:t>
      </w:r>
      <w:bookmarkEnd w:id="120"/>
    </w:p>
    <w:p w:rsidR="001503D0" w:rsidRPr="00065F52" w:rsidRDefault="001503D0" w:rsidP="001503D0">
      <w:pPr>
        <w:spacing w:line="560" w:lineRule="exact"/>
        <w:ind w:firstLineChars="200" w:firstLine="640"/>
        <w:rPr>
          <w:rStyle w:val="NormalCharacter"/>
          <w:rFonts w:ascii="仿宋_GB2312" w:eastAsia="仿宋_GB2312"/>
          <w:sz w:val="32"/>
          <w:szCs w:val="32"/>
        </w:rPr>
      </w:pPr>
      <w:r w:rsidRPr="00065F52">
        <w:rPr>
          <w:rStyle w:val="NormalCharacter"/>
          <w:rFonts w:ascii="仿宋_GB2312" w:eastAsia="仿宋_GB2312" w:hint="eastAsia"/>
          <w:sz w:val="32"/>
          <w:szCs w:val="32"/>
        </w:rPr>
        <w:t>第三人撤销之诉的最初目的就是为了遏制、打击恶意虚假诉讼，保护第三人的合法权益。近年来，当事人双方利用虚假诉讼逃避债务、转移财产、规避责任的案件不在少数，且大有上升之势。此种情况下，一方面应</w:t>
      </w:r>
      <w:proofErr w:type="gramStart"/>
      <w:r w:rsidRPr="00065F52">
        <w:rPr>
          <w:rStyle w:val="NormalCharacter"/>
          <w:rFonts w:ascii="仿宋_GB2312" w:eastAsia="仿宋_GB2312" w:hint="eastAsia"/>
          <w:sz w:val="32"/>
          <w:szCs w:val="32"/>
        </w:rPr>
        <w:t>通过案</w:t>
      </w:r>
      <w:proofErr w:type="gramEnd"/>
      <w:r w:rsidRPr="00065F52">
        <w:rPr>
          <w:rStyle w:val="NormalCharacter"/>
          <w:rFonts w:ascii="仿宋_GB2312" w:eastAsia="仿宋_GB2312" w:hint="eastAsia"/>
          <w:sz w:val="32"/>
          <w:szCs w:val="32"/>
        </w:rPr>
        <w:t>外人救济程序对主张合法</w:t>
      </w:r>
      <w:r w:rsidR="0025792A">
        <w:rPr>
          <w:rStyle w:val="NormalCharacter"/>
          <w:rFonts w:ascii="仿宋_GB2312" w:eastAsia="仿宋_GB2312" w:hint="eastAsia"/>
          <w:sz w:val="32"/>
          <w:szCs w:val="32"/>
        </w:rPr>
        <w:t>权益</w:t>
      </w:r>
      <w:r w:rsidRPr="00065F52">
        <w:rPr>
          <w:rStyle w:val="NormalCharacter"/>
          <w:rFonts w:ascii="仿宋_GB2312" w:eastAsia="仿宋_GB2312" w:hint="eastAsia"/>
          <w:sz w:val="32"/>
          <w:szCs w:val="32"/>
        </w:rPr>
        <w:t>受损害的案外人提供救济，另一方面，也应加大对恶意虚假诉讼的惩治力</w:t>
      </w:r>
      <w:r w:rsidR="009E05E1">
        <w:rPr>
          <w:rStyle w:val="NormalCharacter"/>
          <w:rFonts w:ascii="仿宋_GB2312" w:eastAsia="仿宋_GB2312" w:hint="eastAsia"/>
          <w:sz w:val="32"/>
          <w:szCs w:val="32"/>
        </w:rPr>
        <w:t>度，由法院对虚假诉讼案件依法进行处罚。根据我国民事诉讼法</w:t>
      </w:r>
      <w:r w:rsidRPr="00065F52">
        <w:rPr>
          <w:rStyle w:val="NormalCharacter"/>
          <w:rFonts w:ascii="仿宋_GB2312" w:eastAsia="仿宋_GB2312" w:hint="eastAsia"/>
          <w:sz w:val="32"/>
          <w:szCs w:val="32"/>
        </w:rPr>
        <w:t>第</w:t>
      </w:r>
      <w:r w:rsidR="00BA1ED9">
        <w:rPr>
          <w:rStyle w:val="NormalCharacter"/>
          <w:rFonts w:ascii="仿宋_GB2312" w:eastAsia="仿宋_GB2312" w:hint="eastAsia"/>
          <w:sz w:val="32"/>
          <w:szCs w:val="32"/>
        </w:rPr>
        <w:t>一百一十二</w:t>
      </w:r>
      <w:r w:rsidR="009E05E1">
        <w:rPr>
          <w:rStyle w:val="NormalCharacter"/>
          <w:rFonts w:ascii="仿宋_GB2312" w:eastAsia="仿宋_GB2312" w:hint="eastAsia"/>
          <w:sz w:val="32"/>
          <w:szCs w:val="32"/>
        </w:rPr>
        <w:t>条</w:t>
      </w:r>
      <w:r w:rsidRPr="00065F52">
        <w:rPr>
          <w:rStyle w:val="NormalCharacter"/>
          <w:rFonts w:ascii="仿宋_GB2312" w:eastAsia="仿宋_GB2312" w:hint="eastAsia"/>
          <w:sz w:val="32"/>
          <w:szCs w:val="32"/>
        </w:rPr>
        <w:t>规定</w:t>
      </w:r>
      <w:r w:rsidR="009E05E1">
        <w:rPr>
          <w:rStyle w:val="NormalCharacter"/>
          <w:rFonts w:ascii="仿宋_GB2312" w:eastAsia="仿宋_GB2312" w:hint="eastAsia"/>
          <w:sz w:val="32"/>
          <w:szCs w:val="32"/>
        </w:rPr>
        <w:t>，</w:t>
      </w:r>
      <w:r w:rsidRPr="00065F52">
        <w:rPr>
          <w:rStyle w:val="NormalCharacter"/>
          <w:rFonts w:ascii="仿宋_GB2312" w:eastAsia="仿宋_GB2312" w:hint="eastAsia"/>
          <w:sz w:val="32"/>
          <w:szCs w:val="32"/>
        </w:rPr>
        <w:t>当事人之间恶意串通</w:t>
      </w:r>
      <w:r w:rsidR="009E05E1">
        <w:rPr>
          <w:rStyle w:val="NormalCharacter"/>
          <w:rFonts w:ascii="仿宋_GB2312" w:eastAsia="仿宋_GB2312" w:hint="eastAsia"/>
          <w:sz w:val="32"/>
          <w:szCs w:val="32"/>
        </w:rPr>
        <w:t>，企图通过诉讼、调解等方式侵害他人合法权益的，人民法院应当驳回其请求，并根据情节</w:t>
      </w:r>
      <w:r w:rsidRPr="00065F52">
        <w:rPr>
          <w:rStyle w:val="NormalCharacter"/>
          <w:rFonts w:ascii="仿宋_GB2312" w:eastAsia="仿宋_GB2312" w:hint="eastAsia"/>
          <w:sz w:val="32"/>
          <w:szCs w:val="32"/>
        </w:rPr>
        <w:t>轻重</w:t>
      </w:r>
      <w:r w:rsidR="009E05E1">
        <w:rPr>
          <w:rStyle w:val="NormalCharacter"/>
          <w:rFonts w:ascii="仿宋_GB2312" w:eastAsia="仿宋_GB2312" w:hint="eastAsia"/>
          <w:sz w:val="32"/>
          <w:szCs w:val="32"/>
        </w:rPr>
        <w:t>予以</w:t>
      </w:r>
      <w:r w:rsidRPr="00065F52">
        <w:rPr>
          <w:rStyle w:val="NormalCharacter"/>
          <w:rFonts w:ascii="仿宋_GB2312" w:eastAsia="仿宋_GB2312" w:hint="eastAsia"/>
          <w:sz w:val="32"/>
          <w:szCs w:val="32"/>
        </w:rPr>
        <w:t>罚款、拘留</w:t>
      </w:r>
      <w:r w:rsidR="009E05E1">
        <w:rPr>
          <w:rStyle w:val="NormalCharacter"/>
          <w:rFonts w:ascii="仿宋_GB2312" w:eastAsia="仿宋_GB2312" w:hint="eastAsia"/>
          <w:sz w:val="32"/>
          <w:szCs w:val="32"/>
        </w:rPr>
        <w:t>；构成犯罪的，依法</w:t>
      </w:r>
      <w:r w:rsidRPr="00065F52">
        <w:rPr>
          <w:rStyle w:val="NormalCharacter"/>
          <w:rFonts w:ascii="仿宋_GB2312" w:eastAsia="仿宋_GB2312" w:hint="eastAsia"/>
          <w:sz w:val="32"/>
          <w:szCs w:val="32"/>
        </w:rPr>
        <w:t>追究刑事责任</w:t>
      </w:r>
      <w:r w:rsidR="009E05E1">
        <w:rPr>
          <w:rStyle w:val="NormalCharacter"/>
          <w:rFonts w:ascii="仿宋_GB2312" w:eastAsia="仿宋_GB2312" w:hint="eastAsia"/>
          <w:sz w:val="32"/>
          <w:szCs w:val="32"/>
        </w:rPr>
        <w:t>。</w:t>
      </w:r>
      <w:r w:rsidRPr="00065F52">
        <w:rPr>
          <w:rStyle w:val="NormalCharacter"/>
          <w:rFonts w:ascii="仿宋_GB2312" w:eastAsia="仿宋_GB2312" w:hint="eastAsia"/>
          <w:sz w:val="32"/>
          <w:szCs w:val="32"/>
        </w:rPr>
        <w:t>因此，</w:t>
      </w:r>
      <w:r w:rsidR="00B81234">
        <w:rPr>
          <w:rStyle w:val="NormalCharacter"/>
          <w:rFonts w:ascii="仿宋_GB2312" w:eastAsia="仿宋_GB2312" w:hint="eastAsia"/>
          <w:sz w:val="32"/>
          <w:szCs w:val="32"/>
        </w:rPr>
        <w:t>应</w:t>
      </w:r>
      <w:r w:rsidRPr="00065F52">
        <w:rPr>
          <w:rStyle w:val="NormalCharacter"/>
          <w:rFonts w:ascii="仿宋_GB2312" w:eastAsia="仿宋_GB2312" w:hint="eastAsia"/>
          <w:sz w:val="32"/>
          <w:szCs w:val="32"/>
        </w:rPr>
        <w:t>对虚假诉讼现象进行依法惩治，情节较轻的，依法使用民事诉讼法中规定的强制措施；严重侵犯他人权益、情节恶劣的，依法追究</w:t>
      </w:r>
      <w:r w:rsidR="009E05E1">
        <w:rPr>
          <w:rStyle w:val="NormalCharacter"/>
          <w:rFonts w:ascii="仿宋_GB2312" w:eastAsia="仿宋_GB2312" w:hint="eastAsia"/>
          <w:sz w:val="32"/>
          <w:szCs w:val="32"/>
        </w:rPr>
        <w:t>刑事责任</w:t>
      </w:r>
      <w:r w:rsidRPr="00065F52">
        <w:rPr>
          <w:rStyle w:val="NormalCharacter"/>
          <w:rFonts w:ascii="仿宋_GB2312" w:eastAsia="仿宋_GB2312" w:hint="eastAsia"/>
          <w:sz w:val="32"/>
          <w:szCs w:val="32"/>
        </w:rPr>
        <w:t>，保障第三人的合法权益。对诉讼代理人参与虚假诉讼的，要依法予以制裁并可向司法行政部门、律</w:t>
      </w:r>
      <w:r w:rsidRPr="00065F52">
        <w:rPr>
          <w:rStyle w:val="NormalCharacter"/>
          <w:rFonts w:ascii="仿宋_GB2312" w:eastAsia="仿宋_GB2312" w:hint="eastAsia"/>
          <w:sz w:val="32"/>
          <w:szCs w:val="32"/>
        </w:rPr>
        <w:lastRenderedPageBreak/>
        <w:t>师协会或者行业协会等发出司法建议，并可与相关部门沟通协调，建立综合调研、共同治理的常态机制，形成全社会共同监督的氛围，维护正常的诉讼秩序，彰显公平正义。</w:t>
      </w:r>
    </w:p>
    <w:p w:rsidR="001503D0" w:rsidRPr="00065F52" w:rsidRDefault="001503D0" w:rsidP="001503D0">
      <w:pPr>
        <w:pStyle w:val="2"/>
        <w:spacing w:before="0" w:after="0"/>
        <w:ind w:firstLineChars="200" w:firstLine="640"/>
        <w:rPr>
          <w:rStyle w:val="NormalCharacter"/>
          <w:rFonts w:ascii="黑体" w:eastAsia="黑体" w:hAnsi="黑体" w:cs="Times New Roman"/>
          <w:b w:val="0"/>
          <w:bCs w:val="0"/>
        </w:rPr>
      </w:pPr>
      <w:bookmarkStart w:id="121" w:name="_Toc36114069"/>
      <w:r w:rsidRPr="00065F52">
        <w:rPr>
          <w:rStyle w:val="NormalCharacter"/>
          <w:rFonts w:ascii="黑体" w:eastAsia="黑体" w:hAnsi="黑体" w:cs="Times New Roman" w:hint="eastAsia"/>
          <w:b w:val="0"/>
          <w:bCs w:val="0"/>
        </w:rPr>
        <w:t>六、全面实施第三人撤销之诉案由法定化</w:t>
      </w:r>
      <w:bookmarkEnd w:id="121"/>
    </w:p>
    <w:p w:rsidR="001503D0" w:rsidRPr="00065F52" w:rsidRDefault="001503D0" w:rsidP="001503D0">
      <w:pPr>
        <w:spacing w:line="560" w:lineRule="exact"/>
        <w:ind w:firstLineChars="200" w:firstLine="640"/>
        <w:rPr>
          <w:rStyle w:val="NormalCharacter"/>
          <w:rFonts w:ascii="仿宋_GB2312" w:eastAsia="仿宋_GB2312"/>
          <w:sz w:val="32"/>
          <w:szCs w:val="32"/>
        </w:rPr>
      </w:pPr>
      <w:r w:rsidRPr="00065F52">
        <w:rPr>
          <w:rStyle w:val="NormalCharacter"/>
          <w:rFonts w:ascii="仿宋_GB2312" w:eastAsia="仿宋_GB2312" w:hint="eastAsia"/>
          <w:sz w:val="32"/>
          <w:szCs w:val="32"/>
        </w:rPr>
        <w:t>鉴于目前我国</w:t>
      </w:r>
      <w:r w:rsidR="00BA1ED9">
        <w:rPr>
          <w:rStyle w:val="NormalCharacter"/>
          <w:rFonts w:ascii="仿宋_GB2312" w:eastAsia="仿宋_GB2312" w:hint="eastAsia"/>
          <w:sz w:val="32"/>
          <w:szCs w:val="32"/>
        </w:rPr>
        <w:t>司法</w:t>
      </w:r>
      <w:r w:rsidRPr="00065F52">
        <w:rPr>
          <w:rStyle w:val="NormalCharacter"/>
          <w:rFonts w:ascii="仿宋_GB2312" w:eastAsia="仿宋_GB2312" w:hint="eastAsia"/>
          <w:sz w:val="32"/>
          <w:szCs w:val="32"/>
        </w:rPr>
        <w:t>实务界对第三人撤销之诉案件立案案由不一而足的现状，应将第三人撤销之诉的案由法定化。由于立法时间的先后及认识上的偏差问题，第三人撤销</w:t>
      </w:r>
      <w:proofErr w:type="gramStart"/>
      <w:r w:rsidRPr="00065F52">
        <w:rPr>
          <w:rStyle w:val="NormalCharacter"/>
          <w:rFonts w:ascii="仿宋_GB2312" w:eastAsia="仿宋_GB2312" w:hint="eastAsia"/>
          <w:sz w:val="32"/>
          <w:szCs w:val="32"/>
        </w:rPr>
        <w:t>之诉并未</w:t>
      </w:r>
      <w:proofErr w:type="gramEnd"/>
      <w:r w:rsidRPr="00065F52">
        <w:rPr>
          <w:rStyle w:val="NormalCharacter"/>
          <w:rFonts w:ascii="仿宋_GB2312" w:eastAsia="仿宋_GB2312" w:hint="eastAsia"/>
          <w:sz w:val="32"/>
          <w:szCs w:val="32"/>
        </w:rPr>
        <w:t>统一作为法定案由，造成了司法实践当中部分法院将这类案件的案由确定为“债权人撤销之诉”，更有法院直接适用原审案件的案由，造成在多数情况下与第三人撤销之诉案件涉及的纠纷存在区别，使得法院对第三人撤销之诉的实务应用不协调，相关司法数据也不能准确掌握。应当进一步明确落实相关法律规定，将第三人撤销之诉纳入法定案由之中，为司法实践确立统一标准。</w:t>
      </w:r>
    </w:p>
    <w:p w:rsidR="001503D0" w:rsidRPr="00065F52" w:rsidRDefault="001503D0" w:rsidP="001503D0">
      <w:pPr>
        <w:pStyle w:val="2"/>
        <w:spacing w:before="0" w:after="0"/>
        <w:ind w:firstLineChars="200" w:firstLine="640"/>
        <w:rPr>
          <w:rStyle w:val="NormalCharacter"/>
          <w:rFonts w:ascii="黑体" w:eastAsia="黑体" w:hAnsi="黑体" w:cs="Times New Roman"/>
          <w:b w:val="0"/>
          <w:bCs w:val="0"/>
        </w:rPr>
      </w:pPr>
      <w:bookmarkStart w:id="122" w:name="_Toc36114070"/>
      <w:r w:rsidRPr="00065F52">
        <w:rPr>
          <w:rStyle w:val="NormalCharacter"/>
          <w:rFonts w:ascii="黑体" w:eastAsia="黑体" w:hAnsi="黑体" w:cs="Times New Roman" w:hint="eastAsia"/>
          <w:b w:val="0"/>
          <w:bCs w:val="0"/>
        </w:rPr>
        <w:t>七、加强业务交流，统一</w:t>
      </w:r>
      <w:r w:rsidR="00ED6878">
        <w:rPr>
          <w:rStyle w:val="NormalCharacter"/>
          <w:rFonts w:ascii="黑体" w:eastAsia="黑体" w:hAnsi="黑体" w:cs="Times New Roman" w:hint="eastAsia"/>
          <w:b w:val="0"/>
          <w:bCs w:val="0"/>
        </w:rPr>
        <w:t>裁判</w:t>
      </w:r>
      <w:r w:rsidRPr="00ED6878">
        <w:rPr>
          <w:rStyle w:val="NormalCharacter"/>
          <w:rFonts w:ascii="黑体" w:eastAsia="黑体" w:hAnsi="黑体" w:cs="Times New Roman" w:hint="eastAsia"/>
          <w:b w:val="0"/>
          <w:bCs w:val="0"/>
        </w:rPr>
        <w:t>尺度</w:t>
      </w:r>
      <w:r w:rsidRPr="00065F52">
        <w:rPr>
          <w:rStyle w:val="NormalCharacter"/>
          <w:rFonts w:ascii="黑体" w:eastAsia="黑体" w:hAnsi="黑体" w:cs="Times New Roman" w:hint="eastAsia"/>
          <w:b w:val="0"/>
          <w:bCs w:val="0"/>
        </w:rPr>
        <w:t>，总结实践经验</w:t>
      </w:r>
      <w:bookmarkEnd w:id="122"/>
    </w:p>
    <w:p w:rsidR="00E07526" w:rsidRPr="005F55B3" w:rsidRDefault="001503D0" w:rsidP="005F55B3">
      <w:pPr>
        <w:spacing w:line="560" w:lineRule="exact"/>
        <w:ind w:firstLineChars="200" w:firstLine="640"/>
        <w:rPr>
          <w:rFonts w:ascii="仿宋_GB2312" w:eastAsia="仿宋_GB2312"/>
          <w:sz w:val="32"/>
          <w:szCs w:val="32"/>
        </w:rPr>
      </w:pPr>
      <w:r w:rsidRPr="00065F52">
        <w:rPr>
          <w:rStyle w:val="NormalCharacter"/>
          <w:rFonts w:ascii="仿宋_GB2312" w:eastAsia="仿宋_GB2312" w:hint="eastAsia"/>
          <w:sz w:val="32"/>
          <w:szCs w:val="32"/>
        </w:rPr>
        <w:t>第三人撤销之</w:t>
      </w:r>
      <w:proofErr w:type="gramStart"/>
      <w:r w:rsidRPr="00065F52">
        <w:rPr>
          <w:rStyle w:val="NormalCharacter"/>
          <w:rFonts w:ascii="仿宋_GB2312" w:eastAsia="仿宋_GB2312" w:hint="eastAsia"/>
          <w:sz w:val="32"/>
          <w:szCs w:val="32"/>
        </w:rPr>
        <w:t>诉作为案</w:t>
      </w:r>
      <w:proofErr w:type="gramEnd"/>
      <w:r w:rsidRPr="00065F52">
        <w:rPr>
          <w:rStyle w:val="NormalCharacter"/>
          <w:rFonts w:ascii="仿宋_GB2312" w:eastAsia="仿宋_GB2312" w:hint="eastAsia"/>
          <w:sz w:val="32"/>
          <w:szCs w:val="32"/>
        </w:rPr>
        <w:t>外人救济程序，其起诉主张的权利涉及民事权利类型众多，既要求法官熟悉程序规定，又要精通相关实体法律规定，如物权法、合同法、担保法、婚姻法等实体法律法规，对法官的业务能力和业务水平均提出了更高的要求。对于审判实践中的各类疑难复杂问题，理论界多存争议</w:t>
      </w:r>
      <w:r w:rsidR="009E05E1">
        <w:rPr>
          <w:rStyle w:val="NormalCharacter"/>
          <w:rFonts w:ascii="仿宋_GB2312" w:eastAsia="仿宋_GB2312" w:hint="eastAsia"/>
          <w:sz w:val="32"/>
          <w:szCs w:val="32"/>
        </w:rPr>
        <w:t>。</w:t>
      </w:r>
      <w:r w:rsidRPr="00065F52">
        <w:rPr>
          <w:rStyle w:val="NormalCharacter"/>
          <w:rFonts w:ascii="仿宋_GB2312" w:eastAsia="仿宋_GB2312" w:hint="eastAsia"/>
          <w:sz w:val="32"/>
          <w:szCs w:val="32"/>
        </w:rPr>
        <w:t>因此，有必要统一裁判标准，并通过发布典型案例、加大业务培训、开展联合调研、座谈研讨等方式，加强业务交流，总结审判实践经验，全面提升法官审判业务能力，解决司法适用难题。</w:t>
      </w:r>
    </w:p>
    <w:sectPr w:rsidR="00E07526" w:rsidRPr="005F55B3" w:rsidSect="006D40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4078" w:rsidRDefault="00304078" w:rsidP="00FC5571">
      <w:r>
        <w:separator/>
      </w:r>
    </w:p>
  </w:endnote>
  <w:endnote w:type="continuationSeparator" w:id="0">
    <w:p w:rsidR="00304078" w:rsidRDefault="00304078" w:rsidP="00FC55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4078" w:rsidRDefault="00304078" w:rsidP="00FC5571">
      <w:r>
        <w:separator/>
      </w:r>
    </w:p>
  </w:footnote>
  <w:footnote w:type="continuationSeparator" w:id="0">
    <w:p w:rsidR="00304078" w:rsidRDefault="00304078" w:rsidP="00FC557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62141"/>
    <w:multiLevelType w:val="hybridMultilevel"/>
    <w:tmpl w:val="43AED8EC"/>
    <w:lvl w:ilvl="0" w:tplc="61208FE2">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0C3D29FF"/>
    <w:multiLevelType w:val="multilevel"/>
    <w:tmpl w:val="0C3D29FF"/>
    <w:lvl w:ilvl="0">
      <w:start w:val="1"/>
      <w:numFmt w:val="chineseCountingThousand"/>
      <w:pStyle w:val="Heading2"/>
      <w:lvlText w:val="(%1)"/>
      <w:lvlJc w:val="left"/>
      <w:pPr>
        <w:ind w:left="480" w:hanging="480"/>
        <w:textAlignment w:val="baseline"/>
      </w:pPr>
      <w:rPr>
        <w:rFonts w:ascii="Calibri" w:eastAsia="Calibri" w:hAnsi="Calibri"/>
      </w:rPr>
    </w:lvl>
    <w:lvl w:ilvl="1">
      <w:start w:val="1"/>
      <w:numFmt w:val="lowerLetter"/>
      <w:lvlText w:val="%1)"/>
      <w:lvlJc w:val="left"/>
      <w:pPr>
        <w:ind w:left="960" w:hanging="480"/>
        <w:textAlignment w:val="baseline"/>
      </w:pPr>
    </w:lvl>
    <w:lvl w:ilvl="2">
      <w:start w:val="1"/>
      <w:numFmt w:val="lowerRoman"/>
      <w:lvlText w:val="%1."/>
      <w:lvlJc w:val="right"/>
      <w:pPr>
        <w:ind w:left="1440" w:hanging="480"/>
        <w:textAlignment w:val="baseline"/>
      </w:pPr>
    </w:lvl>
    <w:lvl w:ilvl="3">
      <w:start w:val="1"/>
      <w:numFmt w:val="decimal"/>
      <w:lvlText w:val="%1."/>
      <w:lvlJc w:val="left"/>
      <w:pPr>
        <w:ind w:left="1920" w:hanging="480"/>
        <w:textAlignment w:val="baseline"/>
      </w:pPr>
    </w:lvl>
    <w:lvl w:ilvl="4">
      <w:start w:val="1"/>
      <w:numFmt w:val="lowerLetter"/>
      <w:lvlText w:val="%1)"/>
      <w:lvlJc w:val="left"/>
      <w:pPr>
        <w:ind w:left="2400" w:hanging="480"/>
        <w:textAlignment w:val="baseline"/>
      </w:pPr>
    </w:lvl>
    <w:lvl w:ilvl="5">
      <w:start w:val="1"/>
      <w:numFmt w:val="lowerRoman"/>
      <w:lvlText w:val="%1."/>
      <w:lvlJc w:val="right"/>
      <w:pPr>
        <w:ind w:left="2880" w:hanging="480"/>
        <w:textAlignment w:val="baseline"/>
      </w:pPr>
    </w:lvl>
    <w:lvl w:ilvl="6">
      <w:start w:val="1"/>
      <w:numFmt w:val="decimal"/>
      <w:lvlText w:val="%1."/>
      <w:lvlJc w:val="left"/>
      <w:pPr>
        <w:ind w:left="3360" w:hanging="480"/>
        <w:textAlignment w:val="baseline"/>
      </w:pPr>
    </w:lvl>
    <w:lvl w:ilvl="7">
      <w:start w:val="1"/>
      <w:numFmt w:val="lowerLetter"/>
      <w:lvlText w:val="%1)"/>
      <w:lvlJc w:val="left"/>
      <w:pPr>
        <w:ind w:left="3840" w:hanging="480"/>
        <w:textAlignment w:val="baseline"/>
      </w:pPr>
    </w:lvl>
    <w:lvl w:ilvl="8">
      <w:start w:val="1"/>
      <w:numFmt w:val="lowerRoman"/>
      <w:lvlText w:val="%1."/>
      <w:lvlJc w:val="right"/>
      <w:pPr>
        <w:ind w:left="4320" w:hanging="480"/>
        <w:textAlignment w:val="baseline"/>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C5571"/>
    <w:rsid w:val="00012080"/>
    <w:rsid w:val="000142C0"/>
    <w:rsid w:val="00021E1E"/>
    <w:rsid w:val="00065F52"/>
    <w:rsid w:val="000668AA"/>
    <w:rsid w:val="000754A9"/>
    <w:rsid w:val="00091D43"/>
    <w:rsid w:val="000B635D"/>
    <w:rsid w:val="001116A1"/>
    <w:rsid w:val="00134C54"/>
    <w:rsid w:val="001503D0"/>
    <w:rsid w:val="00150922"/>
    <w:rsid w:val="001E746D"/>
    <w:rsid w:val="00215451"/>
    <w:rsid w:val="00254308"/>
    <w:rsid w:val="0025792A"/>
    <w:rsid w:val="0028503A"/>
    <w:rsid w:val="002A49BF"/>
    <w:rsid w:val="002A7B1A"/>
    <w:rsid w:val="002E0123"/>
    <w:rsid w:val="002E71C3"/>
    <w:rsid w:val="002E7367"/>
    <w:rsid w:val="002F376E"/>
    <w:rsid w:val="00304078"/>
    <w:rsid w:val="00304EB9"/>
    <w:rsid w:val="003320FD"/>
    <w:rsid w:val="003376E9"/>
    <w:rsid w:val="00364E65"/>
    <w:rsid w:val="00365362"/>
    <w:rsid w:val="003B4B7B"/>
    <w:rsid w:val="003B57C8"/>
    <w:rsid w:val="003C5B66"/>
    <w:rsid w:val="00415BC3"/>
    <w:rsid w:val="0046626B"/>
    <w:rsid w:val="004B7EF8"/>
    <w:rsid w:val="00516C85"/>
    <w:rsid w:val="005B73D1"/>
    <w:rsid w:val="005F1B1C"/>
    <w:rsid w:val="005F55B3"/>
    <w:rsid w:val="005F5BD6"/>
    <w:rsid w:val="00682A8E"/>
    <w:rsid w:val="0068488C"/>
    <w:rsid w:val="006B7F21"/>
    <w:rsid w:val="006D4030"/>
    <w:rsid w:val="006F1F71"/>
    <w:rsid w:val="007126F4"/>
    <w:rsid w:val="00733C64"/>
    <w:rsid w:val="0077537D"/>
    <w:rsid w:val="00842E27"/>
    <w:rsid w:val="00850798"/>
    <w:rsid w:val="00851518"/>
    <w:rsid w:val="008C28ED"/>
    <w:rsid w:val="008D6E52"/>
    <w:rsid w:val="00902707"/>
    <w:rsid w:val="00921E67"/>
    <w:rsid w:val="009826B2"/>
    <w:rsid w:val="009C3AC1"/>
    <w:rsid w:val="009E05E1"/>
    <w:rsid w:val="00A65F3E"/>
    <w:rsid w:val="00A66473"/>
    <w:rsid w:val="00A75EC1"/>
    <w:rsid w:val="00AB3362"/>
    <w:rsid w:val="00AC3075"/>
    <w:rsid w:val="00B81234"/>
    <w:rsid w:val="00B81AAB"/>
    <w:rsid w:val="00B8680F"/>
    <w:rsid w:val="00BA1ED9"/>
    <w:rsid w:val="00C15ED8"/>
    <w:rsid w:val="00CD2B8E"/>
    <w:rsid w:val="00CF21EB"/>
    <w:rsid w:val="00D0315D"/>
    <w:rsid w:val="00D73319"/>
    <w:rsid w:val="00D93276"/>
    <w:rsid w:val="00DB1CFD"/>
    <w:rsid w:val="00DB4387"/>
    <w:rsid w:val="00E039CE"/>
    <w:rsid w:val="00E05C58"/>
    <w:rsid w:val="00E07526"/>
    <w:rsid w:val="00E20A93"/>
    <w:rsid w:val="00E2464D"/>
    <w:rsid w:val="00E56330"/>
    <w:rsid w:val="00E72CBF"/>
    <w:rsid w:val="00E74E54"/>
    <w:rsid w:val="00EB23BE"/>
    <w:rsid w:val="00ED6878"/>
    <w:rsid w:val="00F0546D"/>
    <w:rsid w:val="00F414B8"/>
    <w:rsid w:val="00F6430B"/>
    <w:rsid w:val="00F911D4"/>
    <w:rsid w:val="00FC5571"/>
    <w:rsid w:val="00FE04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5571"/>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5B73D1"/>
    <w:pPr>
      <w:keepNext/>
      <w:keepLines/>
      <w:widowControl/>
      <w:spacing w:before="340" w:after="330" w:line="578" w:lineRule="auto"/>
      <w:textAlignment w:val="baseline"/>
      <w:outlineLvl w:val="0"/>
    </w:pPr>
    <w:rPr>
      <w:b/>
      <w:bCs/>
      <w:kern w:val="44"/>
      <w:sz w:val="44"/>
      <w:szCs w:val="44"/>
    </w:rPr>
  </w:style>
  <w:style w:type="paragraph" w:styleId="2">
    <w:name w:val="heading 2"/>
    <w:basedOn w:val="a"/>
    <w:next w:val="a"/>
    <w:link w:val="2Char"/>
    <w:uiPriority w:val="9"/>
    <w:unhideWhenUsed/>
    <w:qFormat/>
    <w:rsid w:val="005B73D1"/>
    <w:pPr>
      <w:keepNext/>
      <w:keepLines/>
      <w:widowControl/>
      <w:spacing w:before="260" w:after="260" w:line="416" w:lineRule="auto"/>
      <w:textAlignment w:val="baseline"/>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C557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C5571"/>
    <w:rPr>
      <w:sz w:val="18"/>
      <w:szCs w:val="18"/>
    </w:rPr>
  </w:style>
  <w:style w:type="paragraph" w:styleId="a4">
    <w:name w:val="footer"/>
    <w:basedOn w:val="a"/>
    <w:link w:val="Char0"/>
    <w:uiPriority w:val="99"/>
    <w:semiHidden/>
    <w:unhideWhenUsed/>
    <w:rsid w:val="00FC557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FC5571"/>
    <w:rPr>
      <w:sz w:val="18"/>
      <w:szCs w:val="18"/>
    </w:rPr>
  </w:style>
  <w:style w:type="character" w:customStyle="1" w:styleId="1Char">
    <w:name w:val="标题 1 Char"/>
    <w:basedOn w:val="a0"/>
    <w:link w:val="1"/>
    <w:uiPriority w:val="9"/>
    <w:rsid w:val="005B73D1"/>
    <w:rPr>
      <w:rFonts w:ascii="Times New Roman" w:eastAsia="宋体" w:hAnsi="Times New Roman" w:cs="Times New Roman"/>
      <w:b/>
      <w:bCs/>
      <w:kern w:val="44"/>
      <w:sz w:val="44"/>
      <w:szCs w:val="44"/>
    </w:rPr>
  </w:style>
  <w:style w:type="character" w:customStyle="1" w:styleId="2Char">
    <w:name w:val="标题 2 Char"/>
    <w:basedOn w:val="a0"/>
    <w:link w:val="2"/>
    <w:uiPriority w:val="9"/>
    <w:rsid w:val="005B73D1"/>
    <w:rPr>
      <w:rFonts w:asciiTheme="majorHAnsi" w:eastAsiaTheme="majorEastAsia" w:hAnsiTheme="majorHAnsi" w:cstheme="majorBidi"/>
      <w:b/>
      <w:bCs/>
      <w:sz w:val="32"/>
      <w:szCs w:val="32"/>
    </w:rPr>
  </w:style>
  <w:style w:type="character" w:styleId="a5">
    <w:name w:val="Hyperlink"/>
    <w:uiPriority w:val="99"/>
    <w:rsid w:val="005B73D1"/>
    <w:rPr>
      <w:color w:val="FE6301"/>
    </w:rPr>
  </w:style>
  <w:style w:type="paragraph" w:customStyle="1" w:styleId="Heading2">
    <w:name w:val="Heading2"/>
    <w:basedOn w:val="a"/>
    <w:next w:val="a"/>
    <w:qFormat/>
    <w:rsid w:val="005B73D1"/>
    <w:pPr>
      <w:keepNext/>
      <w:keepLines/>
      <w:widowControl/>
      <w:numPr>
        <w:numId w:val="1"/>
      </w:numPr>
      <w:spacing w:before="120" w:after="120" w:line="360" w:lineRule="auto"/>
      <w:ind w:left="482" w:hanging="482"/>
    </w:pPr>
    <w:rPr>
      <w:rFonts w:eastAsia="Calibri"/>
    </w:rPr>
  </w:style>
  <w:style w:type="character" w:customStyle="1" w:styleId="NormalCharacter">
    <w:name w:val="NormalCharacter"/>
    <w:semiHidden/>
    <w:qFormat/>
    <w:rsid w:val="005B73D1"/>
  </w:style>
  <w:style w:type="paragraph" w:styleId="TOC">
    <w:name w:val="TOC Heading"/>
    <w:basedOn w:val="1"/>
    <w:next w:val="a"/>
    <w:uiPriority w:val="39"/>
    <w:unhideWhenUsed/>
    <w:qFormat/>
    <w:rsid w:val="005B73D1"/>
    <w:pPr>
      <w:spacing w:before="240" w:after="0" w:line="259" w:lineRule="auto"/>
      <w:jc w:val="left"/>
      <w:textAlignment w:val="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10">
    <w:name w:val="toc 1"/>
    <w:basedOn w:val="a"/>
    <w:next w:val="a"/>
    <w:autoRedefine/>
    <w:uiPriority w:val="39"/>
    <w:unhideWhenUsed/>
    <w:rsid w:val="005B73D1"/>
    <w:pPr>
      <w:widowControl/>
      <w:textAlignment w:val="baseline"/>
    </w:pPr>
  </w:style>
  <w:style w:type="paragraph" w:styleId="20">
    <w:name w:val="toc 2"/>
    <w:basedOn w:val="a"/>
    <w:next w:val="a"/>
    <w:autoRedefine/>
    <w:uiPriority w:val="39"/>
    <w:unhideWhenUsed/>
    <w:rsid w:val="005B73D1"/>
    <w:pPr>
      <w:widowControl/>
      <w:ind w:leftChars="200" w:left="420"/>
      <w:textAlignment w:val="baseline"/>
    </w:pPr>
  </w:style>
  <w:style w:type="paragraph" w:styleId="3">
    <w:name w:val="toc 3"/>
    <w:basedOn w:val="a"/>
    <w:next w:val="a"/>
    <w:autoRedefine/>
    <w:uiPriority w:val="39"/>
    <w:semiHidden/>
    <w:unhideWhenUsed/>
    <w:rsid w:val="006B7F21"/>
    <w:pPr>
      <w:ind w:leftChars="400" w:left="840"/>
    </w:pPr>
  </w:style>
  <w:style w:type="paragraph" w:styleId="a6">
    <w:name w:val="Balloon Text"/>
    <w:basedOn w:val="a"/>
    <w:link w:val="Char1"/>
    <w:uiPriority w:val="99"/>
    <w:semiHidden/>
    <w:unhideWhenUsed/>
    <w:rsid w:val="001503D0"/>
    <w:rPr>
      <w:sz w:val="18"/>
      <w:szCs w:val="18"/>
    </w:rPr>
  </w:style>
  <w:style w:type="character" w:customStyle="1" w:styleId="Char1">
    <w:name w:val="批注框文本 Char"/>
    <w:basedOn w:val="a0"/>
    <w:link w:val="a6"/>
    <w:uiPriority w:val="99"/>
    <w:semiHidden/>
    <w:rsid w:val="001503D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5.xm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chart" Target="charts/chart2.xm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Office_Excel____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Office_Excel____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Office_Excel____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Office_Excel____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Office_Excel____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NULL" TargetMode="External"/><Relationship Id="rId1" Type="http://schemas.openxmlformats.org/officeDocument/2006/relationships/themeOverride" Target="../theme/themeOverride6.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zh-CN" altLang="en-US"/>
              <a:t>执行异议受理案件数量图表</a:t>
            </a:r>
          </a:p>
        </c:rich>
      </c:tx>
      <c:spPr>
        <a:noFill/>
        <a:ln>
          <a:noFill/>
        </a:ln>
        <a:effectLst/>
      </c:spPr>
    </c:title>
    <c:view3D>
      <c:depthPercent val="100"/>
      <c:rAngAx val="1"/>
    </c:view3D>
    <c:floor>
      <c:spPr>
        <a:noFill/>
        <a:ln>
          <a:noFill/>
        </a:ln>
        <a:effectLst/>
        <a:sp3d/>
      </c:spPr>
    </c:floor>
    <c:sideWall>
      <c:spPr>
        <a:noFill/>
        <a:ln>
          <a:noFill/>
        </a:ln>
        <a:effectLst/>
        <a:sp3d/>
      </c:spPr>
    </c:sideWall>
    <c:backWall>
      <c:spPr>
        <a:noFill/>
        <a:ln>
          <a:noFill/>
        </a:ln>
        <a:effectLst/>
        <a:sp3d/>
      </c:spPr>
    </c:backWall>
    <c:plotArea>
      <c:layout/>
      <c:bar3DChart>
        <c:barDir val="col"/>
        <c:grouping val="clustered"/>
        <c:ser>
          <c:idx val="0"/>
          <c:order val="0"/>
          <c:tx>
            <c:strRef>
              <c:f>Sheet1!$B$1</c:f>
              <c:strCache>
                <c:ptCount val="1"/>
                <c:pt idx="0">
                  <c:v>执行异议之诉案件</c:v>
                </c:pt>
              </c:strCache>
            </c:strRef>
          </c:tx>
          <c:spPr>
            <a:solidFill>
              <a:schemeClr val="accent1"/>
            </a:solidFill>
            <a:ln>
              <a:noFill/>
            </a:ln>
            <a:effectLst/>
            <a:sp3d/>
          </c:spPr>
          <c:cat>
            <c:strRef>
              <c:f>Sheet1!$A$2:$A$4</c:f>
              <c:strCache>
                <c:ptCount val="3"/>
                <c:pt idx="0">
                  <c:v>2017年</c:v>
                </c:pt>
                <c:pt idx="1">
                  <c:v>2018年</c:v>
                </c:pt>
                <c:pt idx="2">
                  <c:v>2019年</c:v>
                </c:pt>
              </c:strCache>
            </c:strRef>
          </c:cat>
          <c:val>
            <c:numRef>
              <c:f>Sheet1!$B$2:$B$4</c:f>
              <c:numCache>
                <c:formatCode>General</c:formatCode>
                <c:ptCount val="3"/>
                <c:pt idx="0">
                  <c:v>385</c:v>
                </c:pt>
                <c:pt idx="1">
                  <c:v>540</c:v>
                </c:pt>
                <c:pt idx="2">
                  <c:v>833</c:v>
                </c:pt>
              </c:numCache>
            </c:numRef>
          </c:val>
          <c:extLst xmlns:c16r2="http://schemas.microsoft.com/office/drawing/2015/06/chart">
            <c:ext xmlns:c16="http://schemas.microsoft.com/office/drawing/2014/chart" uri="{C3380CC4-5D6E-409C-BE32-E72D297353CC}">
              <c16:uniqueId val="{00000000-D1FF-402F-8DEE-D11016880CB1}"/>
            </c:ext>
          </c:extLst>
        </c:ser>
        <c:ser>
          <c:idx val="1"/>
          <c:order val="1"/>
          <c:tx>
            <c:strRef>
              <c:f>Sheet1!$C$1</c:f>
              <c:strCache>
                <c:ptCount val="1"/>
                <c:pt idx="0">
                  <c:v>执行审查程序实体异议案件</c:v>
                </c:pt>
              </c:strCache>
            </c:strRef>
          </c:tx>
          <c:spPr>
            <a:solidFill>
              <a:schemeClr val="accent2"/>
            </a:solidFill>
            <a:ln>
              <a:noFill/>
            </a:ln>
            <a:effectLst/>
            <a:sp3d/>
          </c:spPr>
          <c:cat>
            <c:strRef>
              <c:f>Sheet1!$A$2:$A$4</c:f>
              <c:strCache>
                <c:ptCount val="3"/>
                <c:pt idx="0">
                  <c:v>2017年</c:v>
                </c:pt>
                <c:pt idx="1">
                  <c:v>2018年</c:v>
                </c:pt>
                <c:pt idx="2">
                  <c:v>2019年</c:v>
                </c:pt>
              </c:strCache>
            </c:strRef>
          </c:cat>
          <c:val>
            <c:numRef>
              <c:f>Sheet1!$C$2:$C$4</c:f>
              <c:numCache>
                <c:formatCode>General</c:formatCode>
                <c:ptCount val="3"/>
                <c:pt idx="0">
                  <c:v>501</c:v>
                </c:pt>
                <c:pt idx="1">
                  <c:v>805</c:v>
                </c:pt>
                <c:pt idx="2">
                  <c:v>1038</c:v>
                </c:pt>
              </c:numCache>
            </c:numRef>
          </c:val>
          <c:extLst xmlns:c16r2="http://schemas.microsoft.com/office/drawing/2015/06/chart">
            <c:ext xmlns:c16="http://schemas.microsoft.com/office/drawing/2014/chart" uri="{C3380CC4-5D6E-409C-BE32-E72D297353CC}">
              <c16:uniqueId val="{00000001-D1FF-402F-8DEE-D11016880CB1}"/>
            </c:ext>
          </c:extLst>
        </c:ser>
        <c:shape val="box"/>
        <c:axId val="193734912"/>
        <c:axId val="207751424"/>
        <c:axId val="0"/>
      </c:bar3DChart>
      <c:catAx>
        <c:axId val="193734912"/>
        <c:scaling>
          <c:orientation val="minMax"/>
        </c:scaling>
        <c:axPos val="b"/>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207751424"/>
        <c:crosses val="autoZero"/>
        <c:auto val="1"/>
        <c:lblAlgn val="ctr"/>
        <c:lblOffset val="100"/>
      </c:catAx>
      <c:valAx>
        <c:axId val="207751424"/>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93734912"/>
        <c:crosses val="autoZero"/>
        <c:crossBetween val="between"/>
      </c:valAx>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zh-CN" altLang="en-US"/>
              <a:t>案件增长率比较图</a:t>
            </a:r>
          </a:p>
        </c:rich>
      </c:tx>
      <c:spPr>
        <a:noFill/>
        <a:ln>
          <a:noFill/>
        </a:ln>
        <a:effectLst/>
      </c:spPr>
    </c:title>
    <c:plotArea>
      <c:layout/>
      <c:radarChart>
        <c:radarStyle val="marker"/>
        <c:ser>
          <c:idx val="0"/>
          <c:order val="0"/>
          <c:tx>
            <c:strRef>
              <c:f>Sheet1!$B$1</c:f>
              <c:strCache>
                <c:ptCount val="1"/>
                <c:pt idx="0">
                  <c:v>2018年增幅</c:v>
                </c:pt>
              </c:strCache>
            </c:strRef>
          </c:tx>
          <c:spPr>
            <a:ln w="28575" cap="rnd">
              <a:solidFill>
                <a:schemeClr val="accent1"/>
              </a:solidFill>
              <a:round/>
            </a:ln>
            <a:effectLst/>
          </c:spPr>
          <c:marker>
            <c:symbol val="none"/>
          </c:marker>
          <c:cat>
            <c:strRef>
              <c:f>Sheet1!$A$2:$A$4</c:f>
              <c:strCache>
                <c:ptCount val="3"/>
                <c:pt idx="0">
                  <c:v>执行异议之诉</c:v>
                </c:pt>
                <c:pt idx="1">
                  <c:v>民间借贷案件</c:v>
                </c:pt>
                <c:pt idx="2">
                  <c:v>婚姻家庭类案件</c:v>
                </c:pt>
              </c:strCache>
            </c:strRef>
          </c:cat>
          <c:val>
            <c:numRef>
              <c:f>Sheet1!$B$2:$B$4</c:f>
              <c:numCache>
                <c:formatCode>General</c:formatCode>
                <c:ptCount val="3"/>
                <c:pt idx="0">
                  <c:v>47</c:v>
                </c:pt>
                <c:pt idx="1">
                  <c:v>30</c:v>
                </c:pt>
                <c:pt idx="2">
                  <c:v>7</c:v>
                </c:pt>
              </c:numCache>
            </c:numRef>
          </c:val>
          <c:extLst xmlns:c16r2="http://schemas.microsoft.com/office/drawing/2015/06/chart">
            <c:ext xmlns:c16="http://schemas.microsoft.com/office/drawing/2014/chart" uri="{C3380CC4-5D6E-409C-BE32-E72D297353CC}">
              <c16:uniqueId val="{00000000-1F33-45DB-A40C-4F7BC22A1AF7}"/>
            </c:ext>
          </c:extLst>
        </c:ser>
        <c:ser>
          <c:idx val="1"/>
          <c:order val="1"/>
          <c:tx>
            <c:strRef>
              <c:f>Sheet1!$C$1</c:f>
              <c:strCache>
                <c:ptCount val="1"/>
                <c:pt idx="0">
                  <c:v>2019年增幅</c:v>
                </c:pt>
              </c:strCache>
            </c:strRef>
          </c:tx>
          <c:spPr>
            <a:ln w="28575" cap="rnd">
              <a:solidFill>
                <a:schemeClr val="accent2"/>
              </a:solidFill>
              <a:round/>
            </a:ln>
            <a:effectLst/>
          </c:spPr>
          <c:marker>
            <c:symbol val="none"/>
          </c:marker>
          <c:cat>
            <c:strRef>
              <c:f>Sheet1!$A$2:$A$4</c:f>
              <c:strCache>
                <c:ptCount val="3"/>
                <c:pt idx="0">
                  <c:v>执行异议之诉</c:v>
                </c:pt>
                <c:pt idx="1">
                  <c:v>民间借贷案件</c:v>
                </c:pt>
                <c:pt idx="2">
                  <c:v>婚姻家庭类案件</c:v>
                </c:pt>
              </c:strCache>
            </c:strRef>
          </c:cat>
          <c:val>
            <c:numRef>
              <c:f>Sheet1!$C$2:$C$4</c:f>
              <c:numCache>
                <c:formatCode>General</c:formatCode>
                <c:ptCount val="3"/>
                <c:pt idx="0">
                  <c:v>115</c:v>
                </c:pt>
                <c:pt idx="1">
                  <c:v>70</c:v>
                </c:pt>
                <c:pt idx="2">
                  <c:v>0</c:v>
                </c:pt>
              </c:numCache>
            </c:numRef>
          </c:val>
          <c:extLst xmlns:c16r2="http://schemas.microsoft.com/office/drawing/2015/06/chart">
            <c:ext xmlns:c16="http://schemas.microsoft.com/office/drawing/2014/chart" uri="{C3380CC4-5D6E-409C-BE32-E72D297353CC}">
              <c16:uniqueId val="{00000001-1F33-45DB-A40C-4F7BC22A1AF7}"/>
            </c:ext>
          </c:extLst>
        </c:ser>
        <c:axId val="260748416"/>
        <c:axId val="260750720"/>
      </c:radarChart>
      <c:catAx>
        <c:axId val="260748416"/>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260750720"/>
        <c:crosses val="autoZero"/>
        <c:auto val="1"/>
        <c:lblAlgn val="ctr"/>
        <c:lblOffset val="100"/>
      </c:catAx>
      <c:valAx>
        <c:axId val="260750720"/>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260748416"/>
        <c:crosses val="autoZero"/>
        <c:crossBetween val="between"/>
      </c:valAx>
      <c:spPr>
        <a:noFill/>
        <a:ln>
          <a:noFill/>
        </a:ln>
        <a:effectLst/>
      </c:spPr>
    </c:plotArea>
    <c:legend>
      <c:legendPos val="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zh-CN" altLang="en-US"/>
              <a:t>执行异议受理案件数量图表</a:t>
            </a:r>
          </a:p>
        </c:rich>
      </c:tx>
      <c:spPr>
        <a:noFill/>
        <a:ln>
          <a:noFill/>
        </a:ln>
        <a:effectLst/>
      </c:spPr>
    </c:title>
    <c:plotArea>
      <c:layout/>
      <c:barChart>
        <c:barDir val="col"/>
        <c:grouping val="clustered"/>
        <c:ser>
          <c:idx val="0"/>
          <c:order val="0"/>
          <c:tx>
            <c:strRef>
              <c:f>Sheet1!$B$1</c:f>
              <c:strCache>
                <c:ptCount val="1"/>
                <c:pt idx="0">
                  <c:v>执行异议之诉案件</c:v>
                </c:pt>
              </c:strCache>
            </c:strRef>
          </c:tx>
          <c:spPr>
            <a:solidFill>
              <a:schemeClr val="accent1"/>
            </a:solidFill>
            <a:ln>
              <a:noFill/>
            </a:ln>
            <a:effectLst/>
          </c:spPr>
          <c:cat>
            <c:strRef>
              <c:f>Sheet1!$A$2:$A$4</c:f>
              <c:strCache>
                <c:ptCount val="3"/>
                <c:pt idx="0">
                  <c:v>2017年</c:v>
                </c:pt>
                <c:pt idx="1">
                  <c:v>2018年</c:v>
                </c:pt>
                <c:pt idx="2">
                  <c:v>2019年</c:v>
                </c:pt>
              </c:strCache>
            </c:strRef>
          </c:cat>
          <c:val>
            <c:numRef>
              <c:f>Sheet1!$B$2:$B$4</c:f>
              <c:numCache>
                <c:formatCode>General</c:formatCode>
                <c:ptCount val="3"/>
                <c:pt idx="0">
                  <c:v>365</c:v>
                </c:pt>
                <c:pt idx="1">
                  <c:v>502</c:v>
                </c:pt>
                <c:pt idx="2">
                  <c:v>799</c:v>
                </c:pt>
              </c:numCache>
            </c:numRef>
          </c:val>
          <c:extLst xmlns:c16r2="http://schemas.microsoft.com/office/drawing/2015/06/chart">
            <c:ext xmlns:c16="http://schemas.microsoft.com/office/drawing/2014/chart" uri="{C3380CC4-5D6E-409C-BE32-E72D297353CC}">
              <c16:uniqueId val="{00000000-28B5-464A-8770-47339010E4C5}"/>
            </c:ext>
          </c:extLst>
        </c:ser>
        <c:ser>
          <c:idx val="1"/>
          <c:order val="1"/>
          <c:tx>
            <c:strRef>
              <c:f>Sheet1!$C$1</c:f>
              <c:strCache>
                <c:ptCount val="1"/>
                <c:pt idx="0">
                  <c:v>执行审查程序实体异议案件</c:v>
                </c:pt>
              </c:strCache>
            </c:strRef>
          </c:tx>
          <c:spPr>
            <a:solidFill>
              <a:schemeClr val="accent2"/>
            </a:solidFill>
            <a:ln>
              <a:noFill/>
            </a:ln>
            <a:effectLst/>
          </c:spPr>
          <c:cat>
            <c:strRef>
              <c:f>Sheet1!$A$2:$A$4</c:f>
              <c:strCache>
                <c:ptCount val="3"/>
                <c:pt idx="0">
                  <c:v>2017年</c:v>
                </c:pt>
                <c:pt idx="1">
                  <c:v>2018年</c:v>
                </c:pt>
                <c:pt idx="2">
                  <c:v>2019年</c:v>
                </c:pt>
              </c:strCache>
            </c:strRef>
          </c:cat>
          <c:val>
            <c:numRef>
              <c:f>Sheet1!$C$2:$C$4</c:f>
              <c:numCache>
                <c:formatCode>General</c:formatCode>
                <c:ptCount val="3"/>
                <c:pt idx="0">
                  <c:v>501</c:v>
                </c:pt>
                <c:pt idx="1">
                  <c:v>805</c:v>
                </c:pt>
                <c:pt idx="2">
                  <c:v>1038</c:v>
                </c:pt>
              </c:numCache>
            </c:numRef>
          </c:val>
          <c:extLst xmlns:c16r2="http://schemas.microsoft.com/office/drawing/2015/06/chart">
            <c:ext xmlns:c16="http://schemas.microsoft.com/office/drawing/2014/chart" uri="{C3380CC4-5D6E-409C-BE32-E72D297353CC}">
              <c16:uniqueId val="{00000001-28B5-464A-8770-47339010E4C5}"/>
            </c:ext>
          </c:extLst>
        </c:ser>
        <c:axId val="278991616"/>
        <c:axId val="278993536"/>
      </c:barChart>
      <c:lineChart>
        <c:grouping val="standard"/>
        <c:ser>
          <c:idx val="2"/>
          <c:order val="2"/>
          <c:tx>
            <c:strRef>
              <c:f>Sheet1!$D$1</c:f>
              <c:strCache>
                <c:ptCount val="1"/>
                <c:pt idx="0">
                  <c:v>执行异议之诉收结比</c:v>
                </c:pt>
              </c:strCache>
            </c:strRef>
          </c:tx>
          <c:spPr>
            <a:ln w="28575" cap="rnd">
              <a:solidFill>
                <a:schemeClr val="accent3"/>
              </a:solidFill>
              <a:round/>
            </a:ln>
            <a:effectLst/>
          </c:spPr>
          <c:marker>
            <c:symbol val="none"/>
          </c:marker>
          <c:cat>
            <c:strRef>
              <c:f>Sheet1!$A$2:$A$4</c:f>
              <c:strCache>
                <c:ptCount val="3"/>
                <c:pt idx="0">
                  <c:v>2017年</c:v>
                </c:pt>
                <c:pt idx="1">
                  <c:v>2018年</c:v>
                </c:pt>
                <c:pt idx="2">
                  <c:v>2019年</c:v>
                </c:pt>
              </c:strCache>
            </c:strRef>
          </c:cat>
          <c:val>
            <c:numRef>
              <c:f>Sheet1!$D$2:$D$4</c:f>
              <c:numCache>
                <c:formatCode>0%</c:formatCode>
                <c:ptCount val="3"/>
                <c:pt idx="0">
                  <c:v>0.95000000000000062</c:v>
                </c:pt>
                <c:pt idx="1">
                  <c:v>0.93</c:v>
                </c:pt>
                <c:pt idx="2">
                  <c:v>0.96000000000000063</c:v>
                </c:pt>
              </c:numCache>
            </c:numRef>
          </c:val>
          <c:extLst xmlns:c16r2="http://schemas.microsoft.com/office/drawing/2015/06/chart">
            <c:ext xmlns:c16="http://schemas.microsoft.com/office/drawing/2014/chart" uri="{C3380CC4-5D6E-409C-BE32-E72D297353CC}">
              <c16:uniqueId val="{00000000-015F-4149-A14C-1ADAB0058B93}"/>
            </c:ext>
          </c:extLst>
        </c:ser>
        <c:ser>
          <c:idx val="3"/>
          <c:order val="3"/>
          <c:tx>
            <c:strRef>
              <c:f>Sheet1!$E$1</c:f>
              <c:strCache>
                <c:ptCount val="1"/>
                <c:pt idx="0">
                  <c:v>执行审查实体异议收结比</c:v>
                </c:pt>
              </c:strCache>
            </c:strRef>
          </c:tx>
          <c:spPr>
            <a:ln w="28575" cap="rnd">
              <a:solidFill>
                <a:schemeClr val="accent4"/>
              </a:solidFill>
              <a:round/>
            </a:ln>
            <a:effectLst/>
          </c:spPr>
          <c:marker>
            <c:symbol val="none"/>
          </c:marker>
          <c:cat>
            <c:strRef>
              <c:f>Sheet1!$A$2:$A$4</c:f>
              <c:strCache>
                <c:ptCount val="3"/>
                <c:pt idx="0">
                  <c:v>2017年</c:v>
                </c:pt>
                <c:pt idx="1">
                  <c:v>2018年</c:v>
                </c:pt>
                <c:pt idx="2">
                  <c:v>2019年</c:v>
                </c:pt>
              </c:strCache>
            </c:strRef>
          </c:cat>
          <c:val>
            <c:numRef>
              <c:f>Sheet1!$E$2:$E$4</c:f>
              <c:numCache>
                <c:formatCode>0%</c:formatCode>
                <c:ptCount val="3"/>
                <c:pt idx="0">
                  <c:v>1</c:v>
                </c:pt>
                <c:pt idx="1">
                  <c:v>1</c:v>
                </c:pt>
                <c:pt idx="2">
                  <c:v>1</c:v>
                </c:pt>
              </c:numCache>
            </c:numRef>
          </c:val>
          <c:extLst xmlns:c16r2="http://schemas.microsoft.com/office/drawing/2015/06/chart">
            <c:ext xmlns:c16="http://schemas.microsoft.com/office/drawing/2014/chart" uri="{C3380CC4-5D6E-409C-BE32-E72D297353CC}">
              <c16:uniqueId val="{00000001-015F-4149-A14C-1ADAB0058B93}"/>
            </c:ext>
          </c:extLst>
        </c:ser>
        <c:marker val="1"/>
        <c:axId val="279812352"/>
        <c:axId val="279810432"/>
      </c:lineChart>
      <c:catAx>
        <c:axId val="278991616"/>
        <c:scaling>
          <c:orientation val="minMax"/>
        </c:scaling>
        <c:axPos val="b"/>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278993536"/>
        <c:crosses val="autoZero"/>
        <c:auto val="1"/>
        <c:lblAlgn val="ctr"/>
        <c:lblOffset val="100"/>
      </c:catAx>
      <c:valAx>
        <c:axId val="278993536"/>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278991616"/>
        <c:crosses val="autoZero"/>
        <c:crossBetween val="between"/>
      </c:valAx>
      <c:valAx>
        <c:axId val="279810432"/>
        <c:scaling>
          <c:orientation val="minMax"/>
        </c:scaling>
        <c:axPos val="r"/>
        <c:numFmt formatCode="0%" sourceLinked="1"/>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279812352"/>
        <c:crosses val="max"/>
        <c:crossBetween val="between"/>
      </c:valAx>
      <c:catAx>
        <c:axId val="279812352"/>
        <c:scaling>
          <c:orientation val="minMax"/>
        </c:scaling>
        <c:delete val="1"/>
        <c:axPos val="b"/>
        <c:numFmt formatCode="General" sourceLinked="1"/>
        <c:tickLblPos val="none"/>
        <c:crossAx val="279810432"/>
        <c:crosses val="autoZero"/>
        <c:auto val="1"/>
        <c:lblAlgn val="ctr"/>
        <c:lblOffset val="100"/>
      </c:catAx>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2"/>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zh-CN" altLang="en-US"/>
              <a:t>审判周期图表</a:t>
            </a:r>
            <a:endParaRPr lang="en-US" altLang="zh-CN"/>
          </a:p>
        </c:rich>
      </c:tx>
      <c:spPr>
        <a:noFill/>
        <a:ln>
          <a:noFill/>
        </a:ln>
        <a:effectLst/>
      </c:spPr>
    </c:title>
    <c:plotArea>
      <c:layout/>
      <c:barChart>
        <c:barDir val="bar"/>
        <c:grouping val="clustered"/>
        <c:ser>
          <c:idx val="0"/>
          <c:order val="0"/>
          <c:tx>
            <c:strRef>
              <c:f>Sheet1!$B$1</c:f>
              <c:strCache>
                <c:ptCount val="1"/>
                <c:pt idx="0">
                  <c:v>中院审判周期</c:v>
                </c:pt>
              </c:strCache>
            </c:strRef>
          </c:tx>
          <c:spPr>
            <a:solidFill>
              <a:schemeClr val="accent1"/>
            </a:solidFill>
            <a:ln>
              <a:noFill/>
            </a:ln>
            <a:effectLst/>
          </c:spPr>
          <c:cat>
            <c:strRef>
              <c:f>Sheet1!$A$2:$A$3</c:f>
              <c:strCache>
                <c:ptCount val="2"/>
                <c:pt idx="0">
                  <c:v>执行异议之诉</c:v>
                </c:pt>
                <c:pt idx="1">
                  <c:v>传统民商事案件</c:v>
                </c:pt>
              </c:strCache>
            </c:strRef>
          </c:cat>
          <c:val>
            <c:numRef>
              <c:f>Sheet1!$B$2:$B$3</c:f>
              <c:numCache>
                <c:formatCode>General</c:formatCode>
                <c:ptCount val="2"/>
                <c:pt idx="0">
                  <c:v>210</c:v>
                </c:pt>
                <c:pt idx="1">
                  <c:v>91</c:v>
                </c:pt>
              </c:numCache>
            </c:numRef>
          </c:val>
          <c:extLst xmlns:c16r2="http://schemas.microsoft.com/office/drawing/2015/06/chart">
            <c:ext xmlns:c16="http://schemas.microsoft.com/office/drawing/2014/chart" uri="{C3380CC4-5D6E-409C-BE32-E72D297353CC}">
              <c16:uniqueId val="{00000000-B7A1-4A6B-B9E7-8F7223340018}"/>
            </c:ext>
          </c:extLst>
        </c:ser>
        <c:ser>
          <c:idx val="1"/>
          <c:order val="1"/>
          <c:tx>
            <c:strRef>
              <c:f>Sheet1!$C$1</c:f>
              <c:strCache>
                <c:ptCount val="1"/>
                <c:pt idx="0">
                  <c:v>基层法院审判周期</c:v>
                </c:pt>
              </c:strCache>
            </c:strRef>
          </c:tx>
          <c:spPr>
            <a:solidFill>
              <a:schemeClr val="accent2"/>
            </a:solidFill>
            <a:ln>
              <a:noFill/>
            </a:ln>
            <a:effectLst/>
          </c:spPr>
          <c:cat>
            <c:strRef>
              <c:f>Sheet1!$A$2:$A$3</c:f>
              <c:strCache>
                <c:ptCount val="2"/>
                <c:pt idx="0">
                  <c:v>执行异议之诉</c:v>
                </c:pt>
                <c:pt idx="1">
                  <c:v>传统民商事案件</c:v>
                </c:pt>
              </c:strCache>
            </c:strRef>
          </c:cat>
          <c:val>
            <c:numRef>
              <c:f>Sheet1!$C$2:$C$3</c:f>
              <c:numCache>
                <c:formatCode>General</c:formatCode>
                <c:ptCount val="2"/>
                <c:pt idx="0">
                  <c:v>204</c:v>
                </c:pt>
                <c:pt idx="1">
                  <c:v>151</c:v>
                </c:pt>
              </c:numCache>
            </c:numRef>
          </c:val>
          <c:extLst xmlns:c16r2="http://schemas.microsoft.com/office/drawing/2015/06/chart">
            <c:ext xmlns:c16="http://schemas.microsoft.com/office/drawing/2014/chart" uri="{C3380CC4-5D6E-409C-BE32-E72D297353CC}">
              <c16:uniqueId val="{00000001-B7A1-4A6B-B9E7-8F7223340018}"/>
            </c:ext>
          </c:extLst>
        </c:ser>
        <c:ser>
          <c:idx val="2"/>
          <c:order val="2"/>
          <c:tx>
            <c:strRef>
              <c:f>Sheet1!$D$1</c:f>
              <c:strCache>
                <c:ptCount val="1"/>
                <c:pt idx="0">
                  <c:v>平均审理周期</c:v>
                </c:pt>
              </c:strCache>
            </c:strRef>
          </c:tx>
          <c:spPr>
            <a:solidFill>
              <a:schemeClr val="accent3"/>
            </a:solidFill>
            <a:ln>
              <a:noFill/>
            </a:ln>
            <a:effectLst/>
          </c:spPr>
          <c:cat>
            <c:strRef>
              <c:f>Sheet1!$A$2:$A$3</c:f>
              <c:strCache>
                <c:ptCount val="2"/>
                <c:pt idx="0">
                  <c:v>执行异议之诉</c:v>
                </c:pt>
                <c:pt idx="1">
                  <c:v>传统民商事案件</c:v>
                </c:pt>
              </c:strCache>
            </c:strRef>
          </c:cat>
          <c:val>
            <c:numRef>
              <c:f>Sheet1!$D$2:$D$3</c:f>
              <c:numCache>
                <c:formatCode>General</c:formatCode>
                <c:ptCount val="2"/>
                <c:pt idx="0">
                  <c:v>207</c:v>
                </c:pt>
                <c:pt idx="1">
                  <c:v>121</c:v>
                </c:pt>
              </c:numCache>
            </c:numRef>
          </c:val>
          <c:extLst xmlns:c16r2="http://schemas.microsoft.com/office/drawing/2015/06/chart">
            <c:ext xmlns:c16="http://schemas.microsoft.com/office/drawing/2014/chart" uri="{C3380CC4-5D6E-409C-BE32-E72D297353CC}">
              <c16:uniqueId val="{00000003-B7A1-4A6B-B9E7-8F7223340018}"/>
            </c:ext>
          </c:extLst>
        </c:ser>
        <c:gapWidth val="182"/>
        <c:axId val="386383232"/>
        <c:axId val="388388352"/>
      </c:barChart>
      <c:catAx>
        <c:axId val="386383232"/>
        <c:scaling>
          <c:orientation val="minMax"/>
        </c:scaling>
        <c:axPos val="l"/>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388388352"/>
        <c:crosses val="autoZero"/>
        <c:auto val="1"/>
        <c:lblAlgn val="ctr"/>
        <c:lblOffset val="100"/>
      </c:catAx>
      <c:valAx>
        <c:axId val="388388352"/>
        <c:scaling>
          <c:orientation val="minMax"/>
        </c:scaling>
        <c:axPos val="b"/>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386383232"/>
        <c:crosses val="autoZero"/>
        <c:crossBetween val="between"/>
      </c:valAx>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view3D>
      <c:rotX val="3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pie3DChart>
        <c:varyColors val="1"/>
        <c:ser>
          <c:idx val="0"/>
          <c:order val="0"/>
          <c:tx>
            <c:strRef>
              <c:f>Sheet1!$B$1</c:f>
              <c:strCache>
                <c:ptCount val="1"/>
                <c:pt idx="0">
                  <c:v>诉讼标的分布图</c:v>
                </c:pt>
              </c:strCache>
            </c:strRef>
          </c:tx>
          <c:dPt>
            <c:idx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7ADC-4AD4-84AC-9F15F7EB92AD}"/>
              </c:ext>
            </c:extLst>
          </c:dPt>
          <c:dPt>
            <c:idx val="1"/>
            <c:spPr>
              <a:solidFill>
                <a:schemeClr val="accent2"/>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7ADC-4AD4-84AC-9F15F7EB92AD}"/>
              </c:ext>
            </c:extLst>
          </c:dPt>
          <c:dPt>
            <c:idx val="2"/>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7ADC-4AD4-84AC-9F15F7EB92AD}"/>
              </c:ext>
            </c:extLst>
          </c:dPt>
          <c:dPt>
            <c:idx val="3"/>
            <c:spPr>
              <a:solidFill>
                <a:schemeClr val="accent4"/>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7-7ADC-4AD4-84AC-9F15F7EB92AD}"/>
              </c:ext>
            </c:extLst>
          </c:dPt>
          <c:dPt>
            <c:idx val="4"/>
            <c:spPr>
              <a:solidFill>
                <a:schemeClr val="accent5"/>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9-7ADC-4AD4-84AC-9F15F7EB92AD}"/>
              </c:ext>
            </c:extLst>
          </c:dPt>
          <c:dPt>
            <c:idx val="5"/>
            <c:spPr>
              <a:solidFill>
                <a:schemeClr val="accent6"/>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B-7ADC-4AD4-84AC-9F15F7EB92AD}"/>
              </c:ext>
            </c:extLst>
          </c:dPt>
          <c:dPt>
            <c:idx val="6"/>
            <c:spPr>
              <a:solidFill>
                <a:schemeClr val="accent1">
                  <a:lumMod val="6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D-7ADC-4AD4-84AC-9F15F7EB92AD}"/>
              </c:ext>
            </c:extLst>
          </c:dPt>
          <c:dPt>
            <c:idx val="7"/>
            <c:spPr>
              <a:solidFill>
                <a:schemeClr val="accent2">
                  <a:lumMod val="6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F-7ADC-4AD4-84AC-9F15F7EB92AD}"/>
              </c:ext>
            </c:extLst>
          </c:dPt>
          <c:dPt>
            <c:idx val="8"/>
            <c:spPr>
              <a:solidFill>
                <a:schemeClr val="accent3">
                  <a:lumMod val="6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11-7ADC-4AD4-84AC-9F15F7EB92AD}"/>
              </c:ext>
            </c:extLst>
          </c:dPt>
          <c:cat>
            <c:strRef>
              <c:f>Sheet1!$A$2:$A$10</c:f>
              <c:strCache>
                <c:ptCount val="9"/>
                <c:pt idx="0">
                  <c:v>房屋、土地等不动产</c:v>
                </c:pt>
                <c:pt idx="1">
                  <c:v>车辆</c:v>
                </c:pt>
                <c:pt idx="2">
                  <c:v>机器设备</c:v>
                </c:pt>
                <c:pt idx="3">
                  <c:v>银行账户</c:v>
                </c:pt>
                <c:pt idx="4">
                  <c:v>股权</c:v>
                </c:pt>
                <c:pt idx="5">
                  <c:v>票据、仓单</c:v>
                </c:pt>
                <c:pt idx="6">
                  <c:v>优先权</c:v>
                </c:pt>
                <c:pt idx="7">
                  <c:v>租赁权</c:v>
                </c:pt>
                <c:pt idx="8">
                  <c:v>其他</c:v>
                </c:pt>
              </c:strCache>
            </c:strRef>
          </c:cat>
          <c:val>
            <c:numRef>
              <c:f>Sheet1!$B$2:$B$10</c:f>
              <c:numCache>
                <c:formatCode>General</c:formatCode>
                <c:ptCount val="9"/>
                <c:pt idx="0">
                  <c:v>5.2</c:v>
                </c:pt>
                <c:pt idx="1">
                  <c:v>0.8</c:v>
                </c:pt>
                <c:pt idx="2">
                  <c:v>0.60000000000000064</c:v>
                </c:pt>
                <c:pt idx="3">
                  <c:v>0.8</c:v>
                </c:pt>
                <c:pt idx="4">
                  <c:v>0.4</c:v>
                </c:pt>
                <c:pt idx="5">
                  <c:v>0.5</c:v>
                </c:pt>
                <c:pt idx="6">
                  <c:v>0.4</c:v>
                </c:pt>
                <c:pt idx="7">
                  <c:v>1.2</c:v>
                </c:pt>
                <c:pt idx="8">
                  <c:v>0.2</c:v>
                </c:pt>
              </c:numCache>
            </c:numRef>
          </c:val>
          <c:extLst xmlns:c16r2="http://schemas.microsoft.com/office/drawing/2015/06/chart">
            <c:ext xmlns:c16="http://schemas.microsoft.com/office/drawing/2014/chart" uri="{C3380CC4-5D6E-409C-BE32-E72D297353CC}">
              <c16:uniqueId val="{00000000-128C-4EA1-B694-5E6972488CD1}"/>
            </c:ext>
          </c:extLst>
        </c:ser>
      </c:pie3DChart>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cap="none" spc="0" normalizeH="0" baseline="0">
                <a:solidFill>
                  <a:schemeClr val="dk1">
                    <a:lumMod val="50000"/>
                    <a:lumOff val="50000"/>
                  </a:schemeClr>
                </a:solidFill>
                <a:latin typeface="+mj-lt"/>
                <a:ea typeface="+mj-ea"/>
                <a:cs typeface="+mj-cs"/>
              </a:defRPr>
            </a:pPr>
            <a:r>
              <a:rPr lang="zh-CN" altLang="en-US"/>
              <a:t>执行异议之诉类型图表</a:t>
            </a:r>
            <a:endParaRPr lang="zh-CN"/>
          </a:p>
        </c:rich>
      </c:tx>
      <c:layout>
        <c:manualLayout>
          <c:xMode val="edge"/>
          <c:yMode val="edge"/>
          <c:x val="0.24467387730379817"/>
          <c:y val="9.1638029782360533E-3"/>
        </c:manualLayout>
      </c:layout>
      <c:spPr>
        <a:noFill/>
        <a:ln>
          <a:noFill/>
        </a:ln>
        <a:effectLst/>
      </c:spPr>
    </c:title>
    <c:view3D>
      <c:perspective val="30"/>
    </c:view3D>
    <c:floor>
      <c:spPr>
        <a:pattFill prst="ltDnDiag">
          <a:fgClr>
            <a:schemeClr val="dk1">
              <a:lumMod val="15000"/>
              <a:lumOff val="85000"/>
            </a:schemeClr>
          </a:fgClr>
          <a:bgClr>
            <a:schemeClr val="lt1"/>
          </a:bgClr>
        </a:pattFill>
        <a:ln>
          <a:noFill/>
        </a:ln>
        <a:effectLst/>
        <a:sp3d/>
      </c:spPr>
    </c:floor>
    <c:sideWall>
      <c:spPr>
        <a:pattFill prst="ltDnDiag">
          <a:fgClr>
            <a:schemeClr val="dk1">
              <a:lumMod val="15000"/>
              <a:lumOff val="85000"/>
            </a:schemeClr>
          </a:fgClr>
          <a:bgClr>
            <a:schemeClr val="lt1"/>
          </a:bgClr>
        </a:pattFill>
        <a:ln>
          <a:noFill/>
        </a:ln>
        <a:effectLst/>
        <a:sp3d/>
      </c:spPr>
    </c:sideWall>
    <c:backWall>
      <c:spPr>
        <a:pattFill prst="ltDnDiag">
          <a:fgClr>
            <a:schemeClr val="dk1">
              <a:lumMod val="15000"/>
              <a:lumOff val="85000"/>
            </a:schemeClr>
          </a:fgClr>
          <a:bgClr>
            <a:schemeClr val="lt1"/>
          </a:bgClr>
        </a:pattFill>
        <a:ln>
          <a:noFill/>
        </a:ln>
        <a:effectLst/>
        <a:sp3d/>
      </c:spPr>
    </c:backWall>
    <c:plotArea>
      <c:layout/>
      <c:line3DChart>
        <c:grouping val="standard"/>
        <c:ser>
          <c:idx val="0"/>
          <c:order val="0"/>
          <c:tx>
            <c:strRef>
              <c:f>Sheet1!$B$1</c:f>
              <c:strCache>
                <c:ptCount val="1"/>
                <c:pt idx="0">
                  <c:v>案外人异议之诉</c:v>
                </c:pt>
              </c:strCache>
            </c:strRef>
          </c:tx>
          <c:spPr>
            <a:solidFill>
              <a:schemeClr val="accent1"/>
            </a:solidFill>
            <a:ln>
              <a:noFill/>
            </a:ln>
            <a:effectLst/>
            <a:sp3d/>
          </c:spPr>
          <c:dLbls>
            <c:delete val="1"/>
          </c:dLbls>
          <c:cat>
            <c:strRef>
              <c:f>Sheet1!$A$2:$A$4</c:f>
              <c:strCache>
                <c:ptCount val="3"/>
                <c:pt idx="0">
                  <c:v>2017年</c:v>
                </c:pt>
                <c:pt idx="1">
                  <c:v>2018年</c:v>
                </c:pt>
                <c:pt idx="2">
                  <c:v>2019年</c:v>
                </c:pt>
              </c:strCache>
            </c:strRef>
          </c:cat>
          <c:val>
            <c:numRef>
              <c:f>Sheet1!$B$2:$B$4</c:f>
              <c:numCache>
                <c:formatCode>General</c:formatCode>
                <c:ptCount val="3"/>
                <c:pt idx="0">
                  <c:v>49</c:v>
                </c:pt>
                <c:pt idx="1">
                  <c:v>51</c:v>
                </c:pt>
                <c:pt idx="2">
                  <c:v>67</c:v>
                </c:pt>
              </c:numCache>
            </c:numRef>
          </c:val>
          <c:extLst xmlns:c16r2="http://schemas.microsoft.com/office/drawing/2015/06/chart">
            <c:ext xmlns:c16="http://schemas.microsoft.com/office/drawing/2014/chart" uri="{C3380CC4-5D6E-409C-BE32-E72D297353CC}">
              <c16:uniqueId val="{00000000-3A41-494F-8D17-E8E34C15F451}"/>
            </c:ext>
          </c:extLst>
        </c:ser>
        <c:ser>
          <c:idx val="1"/>
          <c:order val="1"/>
          <c:tx>
            <c:strRef>
              <c:f>Sheet1!$C$1</c:f>
              <c:strCache>
                <c:ptCount val="1"/>
                <c:pt idx="0">
                  <c:v>申请执行人异议之诉</c:v>
                </c:pt>
              </c:strCache>
            </c:strRef>
          </c:tx>
          <c:spPr>
            <a:solidFill>
              <a:schemeClr val="accent2"/>
            </a:solidFill>
            <a:ln>
              <a:noFill/>
            </a:ln>
            <a:effectLst/>
            <a:sp3d/>
          </c:spPr>
          <c:dLbls>
            <c:delete val="1"/>
          </c:dLbls>
          <c:cat>
            <c:strRef>
              <c:f>Sheet1!$A$2:$A$4</c:f>
              <c:strCache>
                <c:ptCount val="3"/>
                <c:pt idx="0">
                  <c:v>2017年</c:v>
                </c:pt>
                <c:pt idx="1">
                  <c:v>2018年</c:v>
                </c:pt>
                <c:pt idx="2">
                  <c:v>2019年</c:v>
                </c:pt>
              </c:strCache>
            </c:strRef>
          </c:cat>
          <c:val>
            <c:numRef>
              <c:f>Sheet1!$C$2:$C$4</c:f>
              <c:numCache>
                <c:formatCode>General</c:formatCode>
                <c:ptCount val="3"/>
                <c:pt idx="0">
                  <c:v>47</c:v>
                </c:pt>
                <c:pt idx="1">
                  <c:v>43</c:v>
                </c:pt>
                <c:pt idx="2">
                  <c:v>31</c:v>
                </c:pt>
              </c:numCache>
            </c:numRef>
          </c:val>
          <c:extLst xmlns:c16r2="http://schemas.microsoft.com/office/drawing/2015/06/chart">
            <c:ext xmlns:c16="http://schemas.microsoft.com/office/drawing/2014/chart" uri="{C3380CC4-5D6E-409C-BE32-E72D297353CC}">
              <c16:uniqueId val="{00000001-3A41-494F-8D17-E8E34C15F451}"/>
            </c:ext>
          </c:extLst>
        </c:ser>
        <c:ser>
          <c:idx val="2"/>
          <c:order val="2"/>
          <c:tx>
            <c:strRef>
              <c:f>Sheet1!$D$1</c:f>
              <c:strCache>
                <c:ptCount val="1"/>
                <c:pt idx="0">
                  <c:v>追加被执行人异议之诉</c:v>
                </c:pt>
              </c:strCache>
            </c:strRef>
          </c:tx>
          <c:spPr>
            <a:solidFill>
              <a:schemeClr val="accent3"/>
            </a:solidFill>
            <a:ln>
              <a:noFill/>
            </a:ln>
            <a:effectLst/>
            <a:sp3d/>
          </c:spPr>
          <c:dLbls>
            <c:delete val="1"/>
          </c:dLbls>
          <c:cat>
            <c:strRef>
              <c:f>Sheet1!$A$2:$A$4</c:f>
              <c:strCache>
                <c:ptCount val="3"/>
                <c:pt idx="0">
                  <c:v>2017年</c:v>
                </c:pt>
                <c:pt idx="1">
                  <c:v>2018年</c:v>
                </c:pt>
                <c:pt idx="2">
                  <c:v>2019年</c:v>
                </c:pt>
              </c:strCache>
            </c:strRef>
          </c:cat>
          <c:val>
            <c:numRef>
              <c:f>Sheet1!$D$2:$D$4</c:f>
              <c:numCache>
                <c:formatCode>General</c:formatCode>
                <c:ptCount val="3"/>
                <c:pt idx="0">
                  <c:v>0</c:v>
                </c:pt>
                <c:pt idx="1">
                  <c:v>1.2</c:v>
                </c:pt>
                <c:pt idx="2">
                  <c:v>1.8</c:v>
                </c:pt>
              </c:numCache>
            </c:numRef>
          </c:val>
          <c:extLst xmlns:c16r2="http://schemas.microsoft.com/office/drawing/2015/06/chart">
            <c:ext xmlns:c16="http://schemas.microsoft.com/office/drawing/2014/chart" uri="{C3380CC4-5D6E-409C-BE32-E72D297353CC}">
              <c16:uniqueId val="{00000002-3A41-494F-8D17-E8E34C15F451}"/>
            </c:ext>
          </c:extLst>
        </c:ser>
        <c:ser>
          <c:idx val="3"/>
          <c:order val="3"/>
          <c:tx>
            <c:strRef>
              <c:f>Sheet1!$E$1</c:f>
              <c:strCache>
                <c:ptCount val="1"/>
                <c:pt idx="0">
                  <c:v>执行分配方案异议之诉</c:v>
                </c:pt>
              </c:strCache>
            </c:strRef>
          </c:tx>
          <c:spPr>
            <a:solidFill>
              <a:schemeClr val="accent4"/>
            </a:solidFill>
            <a:ln>
              <a:noFill/>
            </a:ln>
            <a:effectLst/>
            <a:sp3d/>
          </c:spPr>
          <c:dLbls>
            <c:delete val="1"/>
          </c:dLbls>
          <c:cat>
            <c:strRef>
              <c:f>Sheet1!$A$2:$A$4</c:f>
              <c:strCache>
                <c:ptCount val="3"/>
                <c:pt idx="0">
                  <c:v>2017年</c:v>
                </c:pt>
                <c:pt idx="1">
                  <c:v>2018年</c:v>
                </c:pt>
                <c:pt idx="2">
                  <c:v>2019年</c:v>
                </c:pt>
              </c:strCache>
            </c:strRef>
          </c:cat>
          <c:val>
            <c:numRef>
              <c:f>Sheet1!$E$2:$E$4</c:f>
              <c:numCache>
                <c:formatCode>General</c:formatCode>
                <c:ptCount val="3"/>
                <c:pt idx="0">
                  <c:v>4</c:v>
                </c:pt>
                <c:pt idx="1">
                  <c:v>4.8</c:v>
                </c:pt>
                <c:pt idx="2">
                  <c:v>0.2</c:v>
                </c:pt>
              </c:numCache>
            </c:numRef>
          </c:val>
          <c:extLst xmlns:c16r2="http://schemas.microsoft.com/office/drawing/2015/06/chart">
            <c:ext xmlns:c16="http://schemas.microsoft.com/office/drawing/2014/chart" uri="{C3380CC4-5D6E-409C-BE32-E72D297353CC}">
              <c16:uniqueId val="{00000003-3A41-494F-8D17-E8E34C15F451}"/>
            </c:ext>
          </c:extLst>
        </c:ser>
        <c:dLbls>
          <c:showVal val="1"/>
        </c:dLbls>
        <c:axId val="485599872"/>
        <c:axId val="485605760"/>
        <c:axId val="263172544"/>
      </c:line3DChart>
      <c:catAx>
        <c:axId val="485599872"/>
        <c:scaling>
          <c:orientation val="minMax"/>
        </c:scaling>
        <c:axPos val="b"/>
        <c:majorGridlines>
          <c:spPr>
            <a:ln w="9525" cap="flat" cmpd="sng" algn="ctr">
              <a:solidFill>
                <a:schemeClr val="dk1">
                  <a:lumMod val="15000"/>
                  <a:lumOff val="85000"/>
                </a:schemeClr>
              </a:solidFill>
              <a:round/>
            </a:ln>
            <a:effectLst/>
          </c:spPr>
        </c:majorGridlines>
        <c:numFmt formatCode="General" sourceLinked="1"/>
        <c:maj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cap="none" spc="0" normalizeH="0" baseline="0">
                <a:solidFill>
                  <a:schemeClr val="dk1">
                    <a:lumMod val="65000"/>
                    <a:lumOff val="35000"/>
                  </a:schemeClr>
                </a:solidFill>
                <a:latin typeface="+mn-lt"/>
                <a:ea typeface="+mn-ea"/>
                <a:cs typeface="+mn-cs"/>
              </a:defRPr>
            </a:pPr>
            <a:endParaRPr lang="zh-CN"/>
          </a:p>
        </c:txPr>
        <c:crossAx val="485605760"/>
        <c:crosses val="autoZero"/>
        <c:auto val="1"/>
        <c:lblAlgn val="ctr"/>
        <c:lblOffset val="100"/>
      </c:catAx>
      <c:valAx>
        <c:axId val="485605760"/>
        <c:scaling>
          <c:orientation val="minMax"/>
        </c:scaling>
        <c:axPos val="l"/>
        <c:majorGridlines>
          <c:spPr>
            <a:ln w="9525" cap="flat" cmpd="sng" algn="ctr">
              <a:solidFill>
                <a:schemeClr val="dk1">
                  <a:lumMod val="15000"/>
                  <a:lumOff val="85000"/>
                </a:schemeClr>
              </a:solidFill>
              <a:round/>
            </a:ln>
            <a:effectLst/>
          </c:spPr>
        </c:majorGridlines>
        <c:numFmt formatCode="General" sourceLinked="1"/>
        <c:maj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zh-CN"/>
          </a:p>
        </c:txPr>
        <c:crossAx val="485599872"/>
        <c:crosses val="autoZero"/>
        <c:crossBetween val="between"/>
      </c:valAx>
      <c:serAx>
        <c:axId val="263172544"/>
        <c:scaling>
          <c:orientation val="minMax"/>
        </c:scaling>
        <c:delete val="1"/>
        <c:axPos val="b"/>
        <c:tickLblPos val="none"/>
        <c:crossAx val="485605760"/>
        <c:crosses val="autoZero"/>
      </c:serAx>
      <c:spPr>
        <a:solidFill>
          <a:schemeClr val="lt1"/>
        </a:solid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zh-CN"/>
        </a:p>
      </c:txPr>
    </c:legend>
    <c:plotVisOnly val="1"/>
    <c:dispBlanksAs val="zero"/>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lt1"/>
    </a:solidFill>
    <a:ln w="9525" cap="flat" cmpd="sng" algn="ctr">
      <a:solidFill>
        <a:schemeClr val="dk1">
          <a:lumMod val="15000"/>
          <a:lumOff val="85000"/>
        </a:schemeClr>
      </a:solidFill>
      <a:round/>
    </a:ln>
    <a:effectLst/>
  </c:spPr>
  <c:txPr>
    <a:bodyPr/>
    <a:lstStyle/>
    <a:p>
      <a:pPr>
        <a:defRPr/>
      </a:pPr>
      <a:endParaRPr lang="zh-CN"/>
    </a:p>
  </c:txPr>
  <c:externalData r:id="rId2"/>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DDD28D-DBAB-435F-86EC-7A07D926A8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TotalTime>
  <Pages>48</Pages>
  <Words>3143</Words>
  <Characters>17920</Characters>
  <Application>Microsoft Office Word</Application>
  <DocSecurity>0</DocSecurity>
  <Lines>149</Lines>
  <Paragraphs>42</Paragraphs>
  <ScaleCrop>false</ScaleCrop>
  <Company>hp</Company>
  <LinksUpToDate>false</LinksUpToDate>
  <CharactersWithSpaces>21021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龙骞</dc:creator>
  <cp:lastModifiedBy>张坚</cp:lastModifiedBy>
  <cp:revision>26</cp:revision>
  <cp:lastPrinted>2020-03-30T07:57:00Z</cp:lastPrinted>
  <dcterms:created xsi:type="dcterms:W3CDTF">2020-03-31T03:16:00Z</dcterms:created>
  <dcterms:modified xsi:type="dcterms:W3CDTF">2020-04-01T02:43:00Z</dcterms:modified>
</cp:coreProperties>
</file>